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3B" w:rsidRPr="00A505EF" w:rsidRDefault="00F215E3">
      <w:pPr>
        <w:rPr>
          <w:sz w:val="28"/>
          <w:szCs w:val="28"/>
        </w:rPr>
      </w:pPr>
      <w:r w:rsidRPr="00A505EF">
        <w:rPr>
          <w:rFonts w:hint="eastAsia"/>
          <w:sz w:val="28"/>
          <w:szCs w:val="28"/>
        </w:rPr>
        <w:t>国立感染症研究所事件―バイオハザードの危険性</w:t>
      </w:r>
    </w:p>
    <w:p w:rsidR="00F215E3" w:rsidRPr="00A505EF" w:rsidRDefault="00F215E3">
      <w:pPr>
        <w:rPr>
          <w:sz w:val="22"/>
        </w:rPr>
      </w:pPr>
      <w:r w:rsidRPr="00A505EF">
        <w:rPr>
          <w:rFonts w:hint="eastAsia"/>
          <w:sz w:val="22"/>
        </w:rPr>
        <w:t>東京高裁平成</w:t>
      </w:r>
      <w:r w:rsidRPr="00A505EF">
        <w:rPr>
          <w:rFonts w:hint="eastAsia"/>
          <w:sz w:val="22"/>
        </w:rPr>
        <w:t>15</w:t>
      </w:r>
      <w:r w:rsidRPr="00A505EF">
        <w:rPr>
          <w:rFonts w:hint="eastAsia"/>
          <w:sz w:val="22"/>
        </w:rPr>
        <w:t>年</w:t>
      </w:r>
      <w:r w:rsidRPr="00A505EF">
        <w:rPr>
          <w:rFonts w:hint="eastAsia"/>
          <w:sz w:val="22"/>
        </w:rPr>
        <w:t>9</w:t>
      </w:r>
      <w:r w:rsidRPr="00A505EF">
        <w:rPr>
          <w:rFonts w:hint="eastAsia"/>
          <w:sz w:val="22"/>
        </w:rPr>
        <w:t>月</w:t>
      </w:r>
      <w:r w:rsidRPr="00A505EF">
        <w:rPr>
          <w:rFonts w:hint="eastAsia"/>
          <w:sz w:val="22"/>
        </w:rPr>
        <w:t>29</w:t>
      </w:r>
      <w:r w:rsidRPr="00A505EF">
        <w:rPr>
          <w:rFonts w:hint="eastAsia"/>
          <w:sz w:val="22"/>
        </w:rPr>
        <w:t xml:space="preserve">日判決　</w:t>
      </w:r>
    </w:p>
    <w:p w:rsidR="00A505EF" w:rsidRPr="00A505EF" w:rsidRDefault="00F215E3" w:rsidP="00A505EF">
      <w:pPr>
        <w:rPr>
          <w:sz w:val="22"/>
        </w:rPr>
      </w:pPr>
      <w:r w:rsidRPr="00A505EF">
        <w:rPr>
          <w:rFonts w:hint="eastAsia"/>
          <w:sz w:val="22"/>
        </w:rPr>
        <w:t>（環境法判例百選</w:t>
      </w:r>
      <w:r w:rsidRPr="00A505EF">
        <w:rPr>
          <w:rFonts w:hint="eastAsia"/>
          <w:sz w:val="22"/>
        </w:rPr>
        <w:t>[</w:t>
      </w:r>
      <w:r w:rsidRPr="00A505EF">
        <w:rPr>
          <w:rFonts w:hint="eastAsia"/>
          <w:sz w:val="22"/>
        </w:rPr>
        <w:t>第２版</w:t>
      </w:r>
      <w:r w:rsidRPr="00A505EF">
        <w:rPr>
          <w:rFonts w:hint="eastAsia"/>
          <w:sz w:val="22"/>
        </w:rPr>
        <w:t>]</w:t>
      </w:r>
      <w:r w:rsidRPr="00A505EF">
        <w:rPr>
          <w:rFonts w:hint="eastAsia"/>
          <w:sz w:val="22"/>
        </w:rPr>
        <w:t xml:space="preserve">　その他の環境破壊</w:t>
      </w:r>
      <w:r w:rsidRPr="00A505EF">
        <w:rPr>
          <w:rFonts w:hint="eastAsia"/>
          <w:sz w:val="22"/>
        </w:rPr>
        <w:t>102</w:t>
      </w:r>
      <w:r w:rsidRPr="00A505EF">
        <w:rPr>
          <w:rFonts w:hint="eastAsia"/>
          <w:sz w:val="22"/>
        </w:rPr>
        <w:t xml:space="preserve">　</w:t>
      </w:r>
      <w:r w:rsidRPr="00A505EF">
        <w:rPr>
          <w:rFonts w:hint="eastAsia"/>
          <w:sz w:val="22"/>
        </w:rPr>
        <w:t>P228</w:t>
      </w:r>
      <w:r w:rsidRPr="00A505EF">
        <w:rPr>
          <w:rFonts w:hint="eastAsia"/>
          <w:sz w:val="22"/>
        </w:rPr>
        <w:t>）</w:t>
      </w:r>
    </w:p>
    <w:p w:rsidR="00F215E3" w:rsidRDefault="00A505EF" w:rsidP="00A505EF">
      <w:pPr>
        <w:ind w:firstLineChars="2100" w:firstLine="4410"/>
      </w:pPr>
      <w:r>
        <w:rPr>
          <w:rFonts w:hint="eastAsia"/>
        </w:rPr>
        <w:t>地域生態システム学科</w:t>
      </w:r>
      <w:r>
        <w:rPr>
          <w:rFonts w:hint="eastAsia"/>
        </w:rPr>
        <w:t>3</w:t>
      </w:r>
      <w:r>
        <w:rPr>
          <w:rFonts w:hint="eastAsia"/>
        </w:rPr>
        <w:t>年</w:t>
      </w:r>
      <w:r w:rsidR="00F215E3">
        <w:rPr>
          <w:rFonts w:hint="eastAsia"/>
        </w:rPr>
        <w:t xml:space="preserve">　　竹島　一恵</w:t>
      </w:r>
    </w:p>
    <w:p w:rsidR="00B3107A" w:rsidRDefault="00B3107A" w:rsidP="00F215E3"/>
    <w:p w:rsidR="00B3107A" w:rsidRDefault="00B3107A" w:rsidP="00B3107A">
      <w:r>
        <w:rPr>
          <w:rFonts w:hint="eastAsia"/>
        </w:rPr>
        <w:t>＊バイオハザード（生物災害）：生物又はその毒性代謝物質による生物全てへの危険性・障害。遺伝子組み換え実験によって新しく作られた細胞や強力な病原菌によって引き起こされる災害を指す。</w:t>
      </w:r>
    </w:p>
    <w:p w:rsidR="00B3107A" w:rsidRDefault="00B3107A" w:rsidP="00F215E3"/>
    <w:p w:rsidR="00F215E3" w:rsidRDefault="00F215E3" w:rsidP="00F215E3">
      <w:r>
        <w:rPr>
          <w:rFonts w:hint="eastAsia"/>
        </w:rPr>
        <w:t>○事実の概要</w:t>
      </w:r>
    </w:p>
    <w:p w:rsidR="00F215E3" w:rsidRDefault="00F215E3" w:rsidP="009B7912">
      <w:pPr>
        <w:ind w:firstLineChars="100" w:firstLine="210"/>
      </w:pPr>
      <w:r>
        <w:rPr>
          <w:rFonts w:hint="eastAsia"/>
        </w:rPr>
        <w:t>戸山・早稲田地区に</w:t>
      </w:r>
      <w:r w:rsidR="007862D4">
        <w:rPr>
          <w:rFonts w:hint="eastAsia"/>
        </w:rPr>
        <w:t>居住または</w:t>
      </w:r>
      <w:r>
        <w:rPr>
          <w:rFonts w:hint="eastAsia"/>
        </w:rPr>
        <w:t>勤務するＸら（原告・控訴人）が</w:t>
      </w:r>
      <w:r w:rsidR="00597F7D">
        <w:rPr>
          <w:rFonts w:hint="eastAsia"/>
        </w:rPr>
        <w:t>厚生労働省戸山宿舎に設置されている国立感染症研究所（以下感染研）を設置・運営しているＹ（国</w:t>
      </w:r>
      <w:r w:rsidR="00E56A82">
        <w:rPr>
          <w:rFonts w:hint="eastAsia"/>
        </w:rPr>
        <w:t>―被告・被控訴人</w:t>
      </w:r>
      <w:r w:rsidR="00597F7D">
        <w:rPr>
          <w:rFonts w:hint="eastAsia"/>
        </w:rPr>
        <w:t>）に対し</w:t>
      </w:r>
      <w:r w:rsidR="0033433C">
        <w:rPr>
          <w:rFonts w:hint="eastAsia"/>
        </w:rPr>
        <w:t>平穏生活権を含む人格権を根拠に</w:t>
      </w:r>
      <w:r w:rsidR="007862D4">
        <w:rPr>
          <w:rFonts w:hint="eastAsia"/>
        </w:rPr>
        <w:t>感染研からの</w:t>
      </w:r>
      <w:r w:rsidR="00E56A82">
        <w:rPr>
          <w:rFonts w:hint="eastAsia"/>
        </w:rPr>
        <w:t>排気・排水及び</w:t>
      </w:r>
      <w:r w:rsidR="007862D4">
        <w:rPr>
          <w:rFonts w:hint="eastAsia"/>
        </w:rPr>
        <w:t>排煙</w:t>
      </w:r>
      <w:r w:rsidR="00E56A82">
        <w:rPr>
          <w:rFonts w:hint="eastAsia"/>
        </w:rPr>
        <w:t>等の同庁宿舎外への排出の差し止めを求め</w:t>
      </w:r>
      <w:r w:rsidR="0033433C">
        <w:rPr>
          <w:rFonts w:hint="eastAsia"/>
        </w:rPr>
        <w:t>た</w:t>
      </w:r>
      <w:r w:rsidR="00E56A82">
        <w:rPr>
          <w:rFonts w:hint="eastAsia"/>
        </w:rPr>
        <w:t>。</w:t>
      </w:r>
    </w:p>
    <w:p w:rsidR="00E56A82" w:rsidRDefault="00E94D32" w:rsidP="009B7912">
      <w:pPr>
        <w:ind w:firstLineChars="100" w:firstLine="210"/>
      </w:pPr>
      <w:r>
        <w:rPr>
          <w:rFonts w:hint="eastAsia"/>
        </w:rPr>
        <w:t>Ｘらは</w:t>
      </w:r>
      <w:r w:rsidR="007862D4">
        <w:rPr>
          <w:rFonts w:hint="eastAsia"/>
        </w:rPr>
        <w:t>東京地方裁判所（原審）で感染研の戸山地区への移転差し止めを求めていたが原審係属中に感染研が移転し研究活動を始めたため請求の趣旨を変更した。</w:t>
      </w:r>
    </w:p>
    <w:p w:rsidR="0033433C" w:rsidRDefault="00A505EF" w:rsidP="0080496F">
      <w:r>
        <w:rPr>
          <w:rFonts w:hint="eastAsia"/>
        </w:rPr>
        <w:t>※</w:t>
      </w:r>
      <w:r w:rsidR="007862D4">
        <w:rPr>
          <w:rFonts w:hint="eastAsia"/>
        </w:rPr>
        <w:t>原審では</w:t>
      </w:r>
    </w:p>
    <w:p w:rsidR="007862D4" w:rsidRDefault="007862D4" w:rsidP="00AB771C">
      <w:pPr>
        <w:ind w:firstLineChars="100" w:firstLine="210"/>
      </w:pPr>
      <w:r>
        <w:rPr>
          <w:rFonts w:hint="eastAsia"/>
        </w:rPr>
        <w:t>・被侵害者の</w:t>
      </w:r>
      <w:r w:rsidR="009B7912">
        <w:rPr>
          <w:rFonts w:hint="eastAsia"/>
        </w:rPr>
        <w:t>利益</w:t>
      </w:r>
      <w:r>
        <w:rPr>
          <w:rFonts w:hint="eastAsia"/>
        </w:rPr>
        <w:t>の</w:t>
      </w:r>
      <w:r w:rsidR="009B7912">
        <w:rPr>
          <w:rFonts w:hint="eastAsia"/>
        </w:rPr>
        <w:t>侵害ないしその危険が具体的に現実化していることが必要</w:t>
      </w:r>
    </w:p>
    <w:p w:rsidR="009B7912" w:rsidRDefault="009B7912" w:rsidP="00AB771C">
      <w:pPr>
        <w:ind w:firstLineChars="100" w:firstLine="210"/>
      </w:pPr>
      <w:r>
        <w:rPr>
          <w:rFonts w:hint="eastAsia"/>
        </w:rPr>
        <w:t>・被害発生の危険性が、Ｘらが主張するような抽象的なものでは足りない</w:t>
      </w:r>
    </w:p>
    <w:p w:rsidR="009B7912" w:rsidRDefault="009B7912" w:rsidP="00AB771C">
      <w:pPr>
        <w:ind w:firstLineChars="100" w:firstLine="210"/>
      </w:pPr>
      <w:r>
        <w:rPr>
          <w:rFonts w:hint="eastAsia"/>
        </w:rPr>
        <w:t>・病原体等が漏出する具体的な危険性があるということが出来ない</w:t>
      </w:r>
    </w:p>
    <w:p w:rsidR="009B7912" w:rsidRPr="00BD125F" w:rsidRDefault="009B7912" w:rsidP="00BD125F">
      <w:pPr>
        <w:rPr>
          <w:szCs w:val="21"/>
        </w:rPr>
      </w:pPr>
      <w:r>
        <w:rPr>
          <w:rFonts w:hint="eastAsia"/>
        </w:rPr>
        <w:t>としてＸらの請求をいずれも棄却したためＸらは控訴した。</w:t>
      </w:r>
      <w:r w:rsidR="00AB771C">
        <w:rPr>
          <w:rFonts w:hint="eastAsia"/>
        </w:rPr>
        <w:t>（</w:t>
      </w:r>
      <w:r w:rsidR="00AB771C" w:rsidRPr="00BD125F">
        <w:rPr>
          <w:rFonts w:hint="eastAsia"/>
          <w:szCs w:val="21"/>
        </w:rPr>
        <w:t>東京地判平成</w:t>
      </w:r>
      <w:r w:rsidR="00AB771C" w:rsidRPr="00BD125F">
        <w:rPr>
          <w:rFonts w:hint="eastAsia"/>
          <w:szCs w:val="21"/>
        </w:rPr>
        <w:t>13</w:t>
      </w:r>
      <w:r w:rsidR="00AB771C" w:rsidRPr="00BD125F">
        <w:rPr>
          <w:rFonts w:hint="eastAsia"/>
          <w:szCs w:val="21"/>
        </w:rPr>
        <w:t>年</w:t>
      </w:r>
      <w:r w:rsidR="00AB771C" w:rsidRPr="00BD125F">
        <w:rPr>
          <w:rFonts w:hint="eastAsia"/>
          <w:szCs w:val="21"/>
        </w:rPr>
        <w:t>3</w:t>
      </w:r>
      <w:r w:rsidR="00AB771C" w:rsidRPr="00BD125F">
        <w:rPr>
          <w:rFonts w:hint="eastAsia"/>
          <w:szCs w:val="21"/>
        </w:rPr>
        <w:t>月</w:t>
      </w:r>
      <w:r w:rsidR="00AB771C" w:rsidRPr="00BD125F">
        <w:rPr>
          <w:rFonts w:hint="eastAsia"/>
          <w:szCs w:val="21"/>
        </w:rPr>
        <w:t>27</w:t>
      </w:r>
      <w:r w:rsidR="00AB771C" w:rsidRPr="00BD125F">
        <w:rPr>
          <w:rFonts w:hint="eastAsia"/>
          <w:szCs w:val="21"/>
        </w:rPr>
        <w:t>日）</w:t>
      </w:r>
    </w:p>
    <w:p w:rsidR="0033433C" w:rsidRPr="0080496F" w:rsidRDefault="0033433C" w:rsidP="00F215E3"/>
    <w:p w:rsidR="00873ADE" w:rsidRDefault="00873ADE" w:rsidP="00F215E3">
      <w:r>
        <w:rPr>
          <w:rFonts w:hint="eastAsia"/>
        </w:rPr>
        <w:t>○判旨</w:t>
      </w:r>
      <w:r w:rsidR="005C1E1D">
        <w:rPr>
          <w:rFonts w:hint="eastAsia"/>
        </w:rPr>
        <w:t>――</w:t>
      </w:r>
      <w:r>
        <w:rPr>
          <w:rFonts w:hint="eastAsia"/>
        </w:rPr>
        <w:t>控訴棄却</w:t>
      </w:r>
    </w:p>
    <w:p w:rsidR="00C5476C" w:rsidRDefault="00C5476C" w:rsidP="00C5476C">
      <w:pPr>
        <w:rPr>
          <w:rFonts w:hint="eastAsia"/>
        </w:rPr>
      </w:pPr>
      <w:r>
        <w:rPr>
          <w:rFonts w:hint="eastAsia"/>
        </w:rPr>
        <w:t>・</w:t>
      </w:r>
      <w:r w:rsidR="00BD125F">
        <w:rPr>
          <w:rFonts w:hint="eastAsia"/>
        </w:rPr>
        <w:t>本判決では</w:t>
      </w:r>
      <w:r>
        <w:rPr>
          <w:rFonts w:hint="eastAsia"/>
        </w:rPr>
        <w:t>騒音などの生活妨害ではなく生命・身体・健康といった極めて重大な利益が被侵害利益の対象となっている。</w:t>
      </w:r>
    </w:p>
    <w:p w:rsidR="00B3345B" w:rsidRPr="00B3345B" w:rsidRDefault="00B3345B" w:rsidP="00C5476C">
      <w:r>
        <w:rPr>
          <w:rFonts w:hint="eastAsia"/>
        </w:rPr>
        <w:t>・</w:t>
      </w:r>
      <w:bookmarkStart w:id="0" w:name="_GoBack"/>
      <w:bookmarkEnd w:id="0"/>
      <w:r>
        <w:rPr>
          <w:rFonts w:hint="eastAsia"/>
        </w:rPr>
        <w:t>違法性（受忍限度）の判断要素</w:t>
      </w:r>
      <w:r>
        <w:rPr>
          <w:rFonts w:hint="eastAsia"/>
        </w:rPr>
        <w:t>で</w:t>
      </w:r>
      <w:r>
        <w:rPr>
          <w:rFonts w:hint="eastAsia"/>
        </w:rPr>
        <w:t>生命、身体、健康等の利益とそれ以外の要素で軽重をつけている。</w:t>
      </w:r>
    </w:p>
    <w:p w:rsidR="00B3345B" w:rsidRPr="00C5476C" w:rsidRDefault="00C5476C" w:rsidP="00F215E3">
      <w:r>
        <w:rPr>
          <w:rFonts w:hint="eastAsia"/>
        </w:rPr>
        <w:t>・</w:t>
      </w:r>
      <w:r w:rsidR="00BD125F">
        <w:rPr>
          <w:rFonts w:hint="eastAsia"/>
        </w:rPr>
        <w:t>Ｘらの主張する被害は</w:t>
      </w:r>
      <w:r>
        <w:rPr>
          <w:rFonts w:hint="eastAsia"/>
        </w:rPr>
        <w:t>受忍限度の範囲内にあるか否か。</w:t>
      </w:r>
    </w:p>
    <w:p w:rsidR="005C1E1D" w:rsidRDefault="00A505EF" w:rsidP="00A505EF">
      <w:pPr>
        <w:ind w:left="1470" w:hangingChars="700" w:hanging="1470"/>
      </w:pPr>
      <w:r>
        <w:rPr>
          <w:rFonts w:hint="eastAsia"/>
        </w:rPr>
        <w:t>✿</w:t>
      </w:r>
      <w:r w:rsidR="005C1E1D">
        <w:rPr>
          <w:rFonts w:hint="eastAsia"/>
        </w:rPr>
        <w:t>Ｘらの</w:t>
      </w:r>
      <w:r w:rsidR="00E7226B">
        <w:rPr>
          <w:rFonts w:hint="eastAsia"/>
        </w:rPr>
        <w:t>主張「</w:t>
      </w:r>
      <w:r w:rsidR="005C1E1D">
        <w:rPr>
          <w:rFonts w:hint="eastAsia"/>
        </w:rPr>
        <w:t>本件における被侵害利益の性質、内容、予測される侵害の規模、感染研の潜在的危険性を考えれば、侵害発生の可能性が具現化したときは、被害の発生を阻止することは不可能であるから、侵害の程度及び侵害行為の態様の如何を問わず、一律に差止め請求が認められるべきである</w:t>
      </w:r>
      <w:r w:rsidR="00E7226B">
        <w:rPr>
          <w:rFonts w:hint="eastAsia"/>
        </w:rPr>
        <w:t>」</w:t>
      </w:r>
    </w:p>
    <w:p w:rsidR="005C1E1D" w:rsidRDefault="00A505EF" w:rsidP="00A505EF">
      <w:pPr>
        <w:ind w:left="1470" w:hangingChars="700" w:hanging="1470"/>
      </w:pPr>
      <w:r>
        <w:rPr>
          <w:rFonts w:hint="eastAsia"/>
        </w:rPr>
        <w:t>✿</w:t>
      </w:r>
      <w:r w:rsidR="00E7226B">
        <w:rPr>
          <w:rFonts w:hint="eastAsia"/>
        </w:rPr>
        <w:t>本判決では「</w:t>
      </w:r>
      <w:r w:rsidR="005C1E1D">
        <w:rPr>
          <w:rFonts w:hint="eastAsia"/>
        </w:rPr>
        <w:t>生命、身体、健康等を侵害する可能性が一般的、</w:t>
      </w:r>
      <w:r w:rsidR="00E7226B">
        <w:rPr>
          <w:rFonts w:hint="eastAsia"/>
        </w:rPr>
        <w:t>抽象的に存在すれば、それ自体によって当然に差止請求を認めることになり、他の事情を総合考慮した上で受忍限度の存否を判断する余地はないだろう」</w:t>
      </w:r>
    </w:p>
    <w:p w:rsidR="00E7226B" w:rsidRDefault="00E7226B" w:rsidP="00F215E3">
      <w:r>
        <w:rPr>
          <w:rFonts w:hint="eastAsia"/>
        </w:rPr>
        <w:lastRenderedPageBreak/>
        <w:t>⇒差止請求では</w:t>
      </w:r>
      <w:r w:rsidR="00CA4737">
        <w:rPr>
          <w:rFonts w:hint="eastAsia"/>
        </w:rPr>
        <w:t>被侵害者の利益を侵害する可能性</w:t>
      </w:r>
      <w:r>
        <w:rPr>
          <w:rFonts w:hint="eastAsia"/>
        </w:rPr>
        <w:t>だけではなく侵害行為による利益など</w:t>
      </w:r>
      <w:r w:rsidR="00CA4737">
        <w:rPr>
          <w:rFonts w:hint="eastAsia"/>
        </w:rPr>
        <w:t>様々な要素から</w:t>
      </w:r>
      <w:r>
        <w:rPr>
          <w:rFonts w:hint="eastAsia"/>
        </w:rPr>
        <w:t>受忍限度の範囲内であるかどうか判断すべきである。</w:t>
      </w:r>
    </w:p>
    <w:p w:rsidR="00254A35" w:rsidRPr="00254A35" w:rsidRDefault="00254A35" w:rsidP="00F215E3">
      <w:r>
        <w:rPr>
          <w:rFonts w:hint="eastAsia"/>
        </w:rPr>
        <w:t>・感染研の保有する病原体が外部に漏出した場合、回復困難で甚大な被害を最悪引き起こすことはだれの目にも明らかである。</w:t>
      </w:r>
    </w:p>
    <w:p w:rsidR="00244FD1" w:rsidRDefault="00244FD1" w:rsidP="00F215E3">
      <w:r>
        <w:rPr>
          <w:rFonts w:hint="eastAsia"/>
        </w:rPr>
        <w:t>・Ｘらに具体的な危険性が生じているとは言え</w:t>
      </w:r>
      <w:r w:rsidR="00EB3C9C">
        <w:rPr>
          <w:rFonts w:hint="eastAsia"/>
        </w:rPr>
        <w:t>ず、抽象的で一般的な危険</w:t>
      </w:r>
      <w:r w:rsidR="00A505EF">
        <w:rPr>
          <w:rFonts w:hint="eastAsia"/>
        </w:rPr>
        <w:t>性が存在する。</w:t>
      </w:r>
    </w:p>
    <w:p w:rsidR="00A505EF" w:rsidRDefault="00A505EF" w:rsidP="00F215E3">
      <w:r>
        <w:rPr>
          <w:rFonts w:hint="eastAsia"/>
        </w:rPr>
        <w:t>・感染研の担う広範囲かつ高度で専門的な衛生行政の公共性及び公益性</w:t>
      </w:r>
    </w:p>
    <w:p w:rsidR="00244FD1" w:rsidRDefault="00244FD1" w:rsidP="00F215E3">
      <w:r>
        <w:rPr>
          <w:rFonts w:hint="eastAsia"/>
        </w:rPr>
        <w:t>・</w:t>
      </w:r>
      <w:r w:rsidR="00A505EF">
        <w:rPr>
          <w:rFonts w:hint="eastAsia"/>
        </w:rPr>
        <w:t>感染研、</w:t>
      </w:r>
      <w:r w:rsidR="00EB3C9C">
        <w:rPr>
          <w:rFonts w:hint="eastAsia"/>
        </w:rPr>
        <w:t>戸山宿舎</w:t>
      </w:r>
      <w:r w:rsidR="002B5777">
        <w:rPr>
          <w:rFonts w:hint="eastAsia"/>
        </w:rPr>
        <w:t>の安全確保のための設備・従業者教育・管理体制がなされており具体的な</w:t>
      </w:r>
      <w:r w:rsidR="00EB3C9C">
        <w:rPr>
          <w:rFonts w:hint="eastAsia"/>
        </w:rPr>
        <w:t>危険性</w:t>
      </w:r>
      <w:r w:rsidR="002B5777">
        <w:rPr>
          <w:rFonts w:hint="eastAsia"/>
        </w:rPr>
        <w:t>を</w:t>
      </w:r>
      <w:r w:rsidR="00EB3C9C">
        <w:rPr>
          <w:rFonts w:hint="eastAsia"/>
        </w:rPr>
        <w:t>認めがたい</w:t>
      </w:r>
      <w:r w:rsidR="002B5777">
        <w:rPr>
          <w:rFonts w:hint="eastAsia"/>
        </w:rPr>
        <w:t>。</w:t>
      </w:r>
    </w:p>
    <w:p w:rsidR="00244FD1" w:rsidRDefault="000147CC" w:rsidP="00F215E3">
      <w:r>
        <w:rPr>
          <w:rFonts w:hint="eastAsia"/>
        </w:rPr>
        <w:t>・ＸらはＹに立証責任があると主張したが具体的な危険性の存在は差止請求の要件と解されるため採用できないとした。</w:t>
      </w:r>
    </w:p>
    <w:p w:rsidR="000147CC" w:rsidRPr="00A505EF" w:rsidRDefault="000147CC" w:rsidP="00F215E3"/>
    <w:p w:rsidR="002B5777" w:rsidRPr="002B5777" w:rsidRDefault="0080496F" w:rsidP="00F215E3">
      <w:r>
        <w:rPr>
          <w:rFonts w:hint="eastAsia"/>
        </w:rPr>
        <w:t>よって感染研の担う業務と</w:t>
      </w:r>
      <w:r w:rsidR="002B5777">
        <w:rPr>
          <w:rFonts w:hint="eastAsia"/>
        </w:rPr>
        <w:t>これまでの受忍限度に関する判断基準からＸらに対する危険性は受忍限度の範囲内であり請求を認めることはできない</w:t>
      </w:r>
      <w:r w:rsidR="00C5476C">
        <w:rPr>
          <w:rFonts w:hint="eastAsia"/>
        </w:rPr>
        <w:t>と判断した</w:t>
      </w:r>
      <w:r w:rsidR="002B5777">
        <w:rPr>
          <w:rFonts w:hint="eastAsia"/>
        </w:rPr>
        <w:t>。</w:t>
      </w:r>
    </w:p>
    <w:p w:rsidR="006255E9" w:rsidRDefault="006255E9" w:rsidP="00F215E3"/>
    <w:p w:rsidR="00A505EF" w:rsidRDefault="00C018B9" w:rsidP="00F215E3">
      <w:r>
        <w:rPr>
          <w:rFonts w:hint="eastAsia"/>
        </w:rPr>
        <w:t>加えて本判決では</w:t>
      </w:r>
    </w:p>
    <w:p w:rsidR="00A505EF" w:rsidRDefault="00A505EF" w:rsidP="00F215E3">
      <w:r>
        <w:rPr>
          <w:rFonts w:hint="eastAsia"/>
        </w:rPr>
        <w:t>①</w:t>
      </w:r>
      <w:r w:rsidR="00A70061">
        <w:rPr>
          <w:rFonts w:hint="eastAsia"/>
        </w:rPr>
        <w:t>感染研は安全管理体制を徹底し</w:t>
      </w:r>
      <w:r w:rsidR="00465DC0">
        <w:rPr>
          <w:rFonts w:hint="eastAsia"/>
        </w:rPr>
        <w:t>、情報を</w:t>
      </w:r>
      <w:r w:rsidR="00A70061">
        <w:rPr>
          <w:rFonts w:hint="eastAsia"/>
        </w:rPr>
        <w:t>地域住民や国民に情報公開等をして理解と協力を得ることが重要である。</w:t>
      </w:r>
    </w:p>
    <w:p w:rsidR="00A70061" w:rsidRDefault="00A70061" w:rsidP="00F215E3">
      <w:r>
        <w:rPr>
          <w:rFonts w:hint="eastAsia"/>
        </w:rPr>
        <w:t>②感染研への要請として病原体などの漏出が絶対に発生しないように万全を期し、平素から努めるべきである。</w:t>
      </w:r>
    </w:p>
    <w:p w:rsidR="00A505EF" w:rsidRDefault="00A70061" w:rsidP="00F215E3">
      <w:r>
        <w:rPr>
          <w:rFonts w:hint="eastAsia"/>
        </w:rPr>
        <w:t>と述べ、感染研に対し</w:t>
      </w:r>
      <w:r w:rsidR="00465DC0">
        <w:rPr>
          <w:rFonts w:hint="eastAsia"/>
        </w:rPr>
        <w:t>諸設備・機器の点検・更新、徹底した安全管理体制の構築・見直しなど安全確保のための諸背策の損種と実践を改めて強く要請した。</w:t>
      </w:r>
    </w:p>
    <w:p w:rsidR="00465DC0" w:rsidRDefault="00465DC0" w:rsidP="00F215E3"/>
    <w:p w:rsidR="00C018B9" w:rsidRDefault="00C018B9" w:rsidP="00C018B9">
      <w:r>
        <w:rPr>
          <w:rFonts w:hint="eastAsia"/>
        </w:rPr>
        <w:t>※Ｘらは上告・上告受理の申し立てをしたが上告棄却・上告不受理（最決平成</w:t>
      </w:r>
      <w:r>
        <w:rPr>
          <w:rFonts w:hint="eastAsia"/>
        </w:rPr>
        <w:t>17</w:t>
      </w:r>
      <w:r>
        <w:rPr>
          <w:rFonts w:hint="eastAsia"/>
        </w:rPr>
        <w:t>年</w:t>
      </w:r>
      <w:r>
        <w:rPr>
          <w:rFonts w:hint="eastAsia"/>
        </w:rPr>
        <w:t>4</w:t>
      </w:r>
      <w:r>
        <w:rPr>
          <w:rFonts w:hint="eastAsia"/>
        </w:rPr>
        <w:t>月</w:t>
      </w:r>
      <w:r>
        <w:rPr>
          <w:rFonts w:hint="eastAsia"/>
        </w:rPr>
        <w:t>26</w:t>
      </w:r>
      <w:r>
        <w:rPr>
          <w:rFonts w:hint="eastAsia"/>
        </w:rPr>
        <w:t>日）となり本判決が確定した。</w:t>
      </w:r>
    </w:p>
    <w:p w:rsidR="00C018B9" w:rsidRDefault="00C018B9" w:rsidP="00C018B9"/>
    <w:p w:rsidR="006255E9" w:rsidRDefault="006255E9" w:rsidP="00F215E3"/>
    <w:p w:rsidR="000147CC" w:rsidRPr="00396032" w:rsidRDefault="00396032" w:rsidP="000147CC">
      <w:r>
        <w:rPr>
          <w:rFonts w:hint="eastAsia"/>
        </w:rPr>
        <w:t>※</w:t>
      </w:r>
      <w:r w:rsidR="00D375D2">
        <w:rPr>
          <w:rFonts w:hint="eastAsia"/>
        </w:rPr>
        <w:t>立証責任</w:t>
      </w:r>
      <w:r>
        <w:rPr>
          <w:rFonts w:hint="eastAsia"/>
        </w:rPr>
        <w:t>の解釈（伊方原子力発電所事件　最高裁平成</w:t>
      </w:r>
      <w:r>
        <w:rPr>
          <w:rFonts w:hint="eastAsia"/>
        </w:rPr>
        <w:t>4</w:t>
      </w:r>
      <w:r>
        <w:rPr>
          <w:rFonts w:hint="eastAsia"/>
        </w:rPr>
        <w:t>年</w:t>
      </w:r>
      <w:r>
        <w:rPr>
          <w:rFonts w:hint="eastAsia"/>
        </w:rPr>
        <w:t>10</w:t>
      </w:r>
      <w:r>
        <w:rPr>
          <w:rFonts w:hint="eastAsia"/>
        </w:rPr>
        <w:t>月</w:t>
      </w:r>
      <w:r>
        <w:rPr>
          <w:rFonts w:hint="eastAsia"/>
        </w:rPr>
        <w:t>29</w:t>
      </w:r>
      <w:r>
        <w:rPr>
          <w:rFonts w:hint="eastAsia"/>
        </w:rPr>
        <w:t>日）</w:t>
      </w:r>
    </w:p>
    <w:p w:rsidR="000147CC" w:rsidRDefault="000147CC" w:rsidP="000147CC">
      <w:r>
        <w:rPr>
          <w:rFonts w:hint="eastAsia"/>
        </w:rPr>
        <w:t>立証責任は本来原告が行うべきものだが本判決のような安全審査に関する資料をすべて被告行政庁が保持していることを考慮し、被告行政庁はその資料に基づいて主張・立証する必要がある。主張・立証し尽くさない場合は不合理な点があることが推認されるというべきである。</w:t>
      </w:r>
    </w:p>
    <w:p w:rsidR="00D375D2" w:rsidRPr="000147CC" w:rsidRDefault="00D375D2" w:rsidP="00F215E3"/>
    <w:p w:rsidR="00D375D2" w:rsidRPr="00C018B9" w:rsidRDefault="00D375D2" w:rsidP="00F215E3"/>
    <w:p w:rsidR="002B5777" w:rsidRDefault="002B5777" w:rsidP="00F215E3">
      <w:r>
        <w:rPr>
          <w:rFonts w:hint="eastAsia"/>
        </w:rPr>
        <w:t>○受忍限度論</w:t>
      </w:r>
    </w:p>
    <w:p w:rsidR="00465DC0" w:rsidRDefault="00465DC0" w:rsidP="00465DC0">
      <w:r>
        <w:rPr>
          <w:rFonts w:hint="eastAsia"/>
        </w:rPr>
        <w:t>騒音・ばい煙・日照権侵害などの公害や生活妨害型の不法行為において違法性を判断する方法ないし基準。これらの行為は，他人の生活を妨害し損害を与える側面とともに自己の所有</w:t>
      </w:r>
      <w:r>
        <w:rPr>
          <w:rFonts w:hint="eastAsia"/>
        </w:rPr>
        <w:lastRenderedPageBreak/>
        <w:t>する施設を用いた生産活動であるなど，権利行使の側面もある。そこで，このような生活妨害行為（⇒ニューサンス）が不法行為となるか否かの判断では行為の違法性が争点となる。古くは権利行使が権利濫用となる場合に違法性を帯びるとしていた。しかし，その後，被害者救済の観点から，受忍限度を超える侵害行為は違法であるという主張がなされるようになった。</w:t>
      </w:r>
    </w:p>
    <w:p w:rsidR="002B5777" w:rsidRDefault="00465DC0" w:rsidP="00465DC0">
      <w:r>
        <w:rPr>
          <w:rFonts w:hint="eastAsia"/>
        </w:rPr>
        <w:t>[</w:t>
      </w:r>
      <w:r>
        <w:rPr>
          <w:rFonts w:hint="eastAsia"/>
        </w:rPr>
        <w:t>株式会社有斐閣　法律学小辞典第４版</w:t>
      </w:r>
      <w:r>
        <w:rPr>
          <w:rFonts w:hint="eastAsia"/>
        </w:rPr>
        <w:t>]</w:t>
      </w:r>
    </w:p>
    <w:p w:rsidR="00917305" w:rsidRDefault="00917305" w:rsidP="00F215E3"/>
    <w:p w:rsidR="002B5777" w:rsidRDefault="002B5777" w:rsidP="00F215E3">
      <w:r>
        <w:rPr>
          <w:rFonts w:hint="eastAsia"/>
        </w:rPr>
        <w:t>○平穏生活権</w:t>
      </w:r>
    </w:p>
    <w:p w:rsidR="00634676" w:rsidRDefault="00634676" w:rsidP="00634676">
      <w:r>
        <w:rPr>
          <w:rFonts w:hint="eastAsia"/>
        </w:rPr>
        <w:t>身体的人格権に直結する精神的人格権の一種とされる。これを用いることにより、健康被害に至る以前の「不安感」の状態で差止めなどを請求できるという実践的な意味がある。</w:t>
      </w:r>
    </w:p>
    <w:p w:rsidR="00634676" w:rsidRDefault="00634676" w:rsidP="00D375D2">
      <w:pPr>
        <w:ind w:firstLineChars="2900" w:firstLine="6090"/>
      </w:pPr>
      <w:r>
        <w:rPr>
          <w:rFonts w:hint="eastAsia"/>
        </w:rPr>
        <w:t>[</w:t>
      </w:r>
      <w:r>
        <w:rPr>
          <w:rFonts w:hint="eastAsia"/>
        </w:rPr>
        <w:t>環境法　北村喜宣</w:t>
      </w:r>
      <w:r>
        <w:rPr>
          <w:rFonts w:hint="eastAsia"/>
        </w:rPr>
        <w:t>P209]</w:t>
      </w:r>
    </w:p>
    <w:p w:rsidR="00C018B9" w:rsidRDefault="00D375D2" w:rsidP="00634676">
      <w:r>
        <w:rPr>
          <w:rFonts w:hint="eastAsia"/>
        </w:rPr>
        <w:t>＊</w:t>
      </w:r>
      <w:r w:rsidR="00634676">
        <w:rPr>
          <w:rFonts w:hint="eastAsia"/>
        </w:rPr>
        <w:t>平穏生活権に基づく請求が容認される例もでている。</w:t>
      </w:r>
    </w:p>
    <w:p w:rsidR="00D375D2" w:rsidRDefault="00C018B9" w:rsidP="00D375D2">
      <w:pPr>
        <w:ind w:leftChars="100" w:left="210"/>
      </w:pPr>
      <w:r>
        <w:rPr>
          <w:rFonts w:hint="eastAsia"/>
        </w:rPr>
        <w:t>廃棄物処分場の建設に関する宮城県丸森町産業廃棄物処分場事件</w:t>
      </w:r>
      <w:r w:rsidR="00634676">
        <w:rPr>
          <w:rFonts w:hint="eastAsia"/>
        </w:rPr>
        <w:t>（仙台地決平成</w:t>
      </w:r>
      <w:r w:rsidR="00634676">
        <w:rPr>
          <w:rFonts w:hint="eastAsia"/>
        </w:rPr>
        <w:t>4</w:t>
      </w:r>
      <w:r w:rsidR="00634676">
        <w:rPr>
          <w:rFonts w:hint="eastAsia"/>
        </w:rPr>
        <w:t>年</w:t>
      </w:r>
      <w:r w:rsidR="00634676">
        <w:rPr>
          <w:rFonts w:hint="eastAsia"/>
        </w:rPr>
        <w:t>2</w:t>
      </w:r>
      <w:r w:rsidR="00634676">
        <w:rPr>
          <w:rFonts w:hint="eastAsia"/>
        </w:rPr>
        <w:t>月</w:t>
      </w:r>
      <w:r w:rsidR="00634676">
        <w:rPr>
          <w:rFonts w:hint="eastAsia"/>
        </w:rPr>
        <w:t>28</w:t>
      </w:r>
      <w:r w:rsidR="00634676">
        <w:rPr>
          <w:rFonts w:hint="eastAsia"/>
        </w:rPr>
        <w:t>日判タ）</w:t>
      </w:r>
    </w:p>
    <w:p w:rsidR="00634676" w:rsidRDefault="00C018B9" w:rsidP="00D375D2">
      <w:pPr>
        <w:ind w:leftChars="100" w:left="210"/>
      </w:pPr>
      <w:r>
        <w:rPr>
          <w:rFonts w:hint="eastAsia"/>
        </w:rPr>
        <w:t>→高度の蓋然性が認められる場合には侵害行為予防の差止請求が認められた事例。</w:t>
      </w:r>
    </w:p>
    <w:p w:rsidR="0080496F" w:rsidRPr="00634676" w:rsidRDefault="0080496F" w:rsidP="00F215E3"/>
    <w:p w:rsidR="002B5777" w:rsidRDefault="002B5777" w:rsidP="00F215E3">
      <w:r>
        <w:rPr>
          <w:rFonts w:hint="eastAsia"/>
        </w:rPr>
        <w:t>○国立感染症研究所事件と関連した事件</w:t>
      </w:r>
    </w:p>
    <w:p w:rsidR="005002E4" w:rsidRPr="00B3107A" w:rsidRDefault="00396032" w:rsidP="00B3107A">
      <w:r>
        <w:rPr>
          <w:rFonts w:hint="eastAsia"/>
        </w:rPr>
        <w:t>・</w:t>
      </w:r>
      <w:r w:rsidR="00B67C07" w:rsidRPr="00B3107A">
        <w:rPr>
          <w:rFonts w:hint="eastAsia"/>
        </w:rPr>
        <w:t>理化学研究所Ｐ４施設事件（</w:t>
      </w:r>
      <w:r w:rsidR="00B3107A">
        <w:rPr>
          <w:rFonts w:hint="eastAsia"/>
        </w:rPr>
        <w:t>水戸地裁土浦支部判決平成</w:t>
      </w:r>
      <w:r w:rsidR="00B3107A">
        <w:rPr>
          <w:rFonts w:hint="eastAsia"/>
        </w:rPr>
        <w:t>5</w:t>
      </w:r>
      <w:r w:rsidR="00B3107A">
        <w:rPr>
          <w:rFonts w:hint="eastAsia"/>
        </w:rPr>
        <w:t>年</w:t>
      </w:r>
      <w:r w:rsidR="00B3107A">
        <w:rPr>
          <w:rFonts w:hint="eastAsia"/>
        </w:rPr>
        <w:t>6</w:t>
      </w:r>
      <w:r w:rsidR="00B3107A">
        <w:rPr>
          <w:rFonts w:hint="eastAsia"/>
        </w:rPr>
        <w:t>月</w:t>
      </w:r>
      <w:r w:rsidR="00B3107A">
        <w:rPr>
          <w:rFonts w:hint="eastAsia"/>
        </w:rPr>
        <w:t>15</w:t>
      </w:r>
      <w:r w:rsidR="00B3107A">
        <w:rPr>
          <w:rFonts w:hint="eastAsia"/>
        </w:rPr>
        <w:t>日</w:t>
      </w:r>
      <w:r w:rsidR="00B67C07" w:rsidRPr="00B3107A">
        <w:rPr>
          <w:rFonts w:hint="eastAsia"/>
        </w:rPr>
        <w:t>）</w:t>
      </w:r>
      <w:r w:rsidR="00B67C07" w:rsidRPr="00B3107A">
        <w:t xml:space="preserve"> </w:t>
      </w:r>
    </w:p>
    <w:p w:rsidR="00396032" w:rsidRDefault="00396032" w:rsidP="00F215E3">
      <w:r>
        <w:rPr>
          <w:rFonts w:hint="eastAsia"/>
        </w:rPr>
        <w:t>・</w:t>
      </w:r>
      <w:r w:rsidR="00B3107A">
        <w:rPr>
          <w:rFonts w:hint="eastAsia"/>
        </w:rPr>
        <w:t>女川原発事件（仙台地判平成</w:t>
      </w:r>
      <w:r w:rsidR="00B3107A">
        <w:rPr>
          <w:rFonts w:hint="eastAsia"/>
        </w:rPr>
        <w:t>6</w:t>
      </w:r>
      <w:r w:rsidR="00B3107A">
        <w:rPr>
          <w:rFonts w:hint="eastAsia"/>
        </w:rPr>
        <w:t>年</w:t>
      </w:r>
      <w:r w:rsidR="00B3107A">
        <w:rPr>
          <w:rFonts w:hint="eastAsia"/>
        </w:rPr>
        <w:t>1</w:t>
      </w:r>
      <w:r w:rsidR="00B3107A">
        <w:rPr>
          <w:rFonts w:hint="eastAsia"/>
        </w:rPr>
        <w:t>月</w:t>
      </w:r>
      <w:r w:rsidR="00B3107A">
        <w:rPr>
          <w:rFonts w:hint="eastAsia"/>
        </w:rPr>
        <w:t>31</w:t>
      </w:r>
      <w:r w:rsidR="00B3107A">
        <w:rPr>
          <w:rFonts w:hint="eastAsia"/>
        </w:rPr>
        <w:t>日）</w:t>
      </w:r>
    </w:p>
    <w:p w:rsidR="00B67C07" w:rsidRPr="00B67C07" w:rsidRDefault="00B67C07" w:rsidP="00F215E3"/>
    <w:p w:rsidR="00B3107A" w:rsidRPr="00D375D2" w:rsidRDefault="00B67C07" w:rsidP="00F215E3">
      <w:r>
        <w:rPr>
          <w:rFonts w:hint="eastAsia"/>
        </w:rPr>
        <w:t>○用語など</w:t>
      </w:r>
    </w:p>
    <w:p w:rsidR="00B67C07" w:rsidRDefault="00B67C07" w:rsidP="0033433C">
      <w:r>
        <w:rPr>
          <w:rFonts w:hint="eastAsia"/>
        </w:rPr>
        <w:t>●</w:t>
      </w:r>
      <w:r w:rsidR="0033433C">
        <w:rPr>
          <w:rFonts w:hint="eastAsia"/>
        </w:rPr>
        <w:t>係属</w:t>
      </w:r>
      <w:r w:rsidR="00726CF4">
        <w:rPr>
          <w:rFonts w:hint="eastAsia"/>
        </w:rPr>
        <w:t>：</w:t>
      </w:r>
      <w:r w:rsidR="0033433C">
        <w:rPr>
          <w:rFonts w:hint="eastAsia"/>
        </w:rPr>
        <w:t>訴訟</w:t>
      </w:r>
      <w:r w:rsidR="00726CF4">
        <w:rPr>
          <w:rFonts w:hint="eastAsia"/>
        </w:rPr>
        <w:t>法上の用語で、民事、行政又は刑事の訴訟事件が</w:t>
      </w:r>
      <w:r w:rsidR="0033433C">
        <w:rPr>
          <w:rFonts w:hint="eastAsia"/>
        </w:rPr>
        <w:t>裁</w:t>
      </w:r>
      <w:r w:rsidR="00726CF4">
        <w:rPr>
          <w:rFonts w:hint="eastAsia"/>
        </w:rPr>
        <w:t>判所において審理中の状態にあることをいう。訴訟係属ともいう。（一般的には「～と関係して」という意味）</w:t>
      </w:r>
    </w:p>
    <w:p w:rsidR="0033433C" w:rsidRDefault="0033433C" w:rsidP="0033433C">
      <w:r>
        <w:rPr>
          <w:rFonts w:hint="eastAsia"/>
        </w:rPr>
        <w:t xml:space="preserve">　</w:t>
      </w:r>
      <w:r>
        <w:rPr>
          <w:rFonts w:hint="eastAsia"/>
        </w:rPr>
        <w:t>[</w:t>
      </w:r>
      <w:r>
        <w:rPr>
          <w:rFonts w:hint="eastAsia"/>
        </w:rPr>
        <w:t>有斐閣</w:t>
      </w:r>
      <w:r>
        <w:rPr>
          <w:rFonts w:hint="eastAsia"/>
        </w:rPr>
        <w:t xml:space="preserve"> </w:t>
      </w:r>
      <w:r>
        <w:rPr>
          <w:rFonts w:hint="eastAsia"/>
        </w:rPr>
        <w:t>法律用語辞典第３版</w:t>
      </w:r>
      <w:r>
        <w:rPr>
          <w:rFonts w:hint="eastAsia"/>
        </w:rPr>
        <w:t>]</w:t>
      </w:r>
    </w:p>
    <w:p w:rsidR="0033433C" w:rsidRPr="00B67C07" w:rsidRDefault="0033433C" w:rsidP="00F215E3"/>
    <w:p w:rsidR="00E56A82" w:rsidRDefault="00634676" w:rsidP="00F215E3">
      <w:r>
        <w:rPr>
          <w:rFonts w:hint="eastAsia"/>
        </w:rPr>
        <w:t>●</w:t>
      </w:r>
      <w:r w:rsidR="0033433C">
        <w:rPr>
          <w:rFonts w:hint="eastAsia"/>
        </w:rPr>
        <w:t>人格権</w:t>
      </w:r>
    </w:p>
    <w:p w:rsidR="009B7912" w:rsidRDefault="009B7912" w:rsidP="009B7912">
      <w:r>
        <w:rPr>
          <w:rFonts w:hint="eastAsia"/>
        </w:rPr>
        <w:t>人の生命・身体・自由・名誉・氏名・貞操・信用など人格的な利益は，財産的な利益とともに，他人の侵害から保護されなければならない。これらを違法に侵害することは不法行為となる。このように法的保護の対象となる人格的利益を総称して，人格権と呼ぶ。民法は，この種の人格権として，身体・自由・名誉だけを挙げている〔民</w:t>
      </w:r>
      <w:r>
        <w:rPr>
          <w:rFonts w:hint="eastAsia"/>
        </w:rPr>
        <w:t>710</w:t>
      </w:r>
      <w:r>
        <w:rPr>
          <w:rFonts w:hint="eastAsia"/>
        </w:rPr>
        <w:t>〕が，それは例示であって，人格権には貞操・信用・氏名などが含まれると解されている。人格権を侵害すると，不法行為として損害賠償責任が生じるほか，公害事件など継続的な人格権侵害の事件では，人格権に基づく差止めが認められている。</w:t>
      </w:r>
      <w:r>
        <w:rPr>
          <w:rFonts w:hint="eastAsia"/>
        </w:rPr>
        <w:t xml:space="preserve"> </w:t>
      </w:r>
      <w:r>
        <w:rPr>
          <w:rFonts w:hint="eastAsia"/>
        </w:rPr>
        <w:t xml:space="preserve">⇒プライバシー　</w:t>
      </w:r>
    </w:p>
    <w:p w:rsidR="0033433C" w:rsidRDefault="009B7912" w:rsidP="009B7912">
      <w:r>
        <w:rPr>
          <w:rFonts w:hint="eastAsia"/>
        </w:rPr>
        <w:t>[</w:t>
      </w:r>
      <w:r>
        <w:rPr>
          <w:rFonts w:hint="eastAsia"/>
        </w:rPr>
        <w:t>株式会社有斐閣　法律学小辞典第４版</w:t>
      </w:r>
      <w:r>
        <w:rPr>
          <w:rFonts w:hint="eastAsia"/>
        </w:rPr>
        <w:t>]</w:t>
      </w:r>
    </w:p>
    <w:p w:rsidR="009B7912" w:rsidRDefault="009B7912" w:rsidP="00F215E3"/>
    <w:p w:rsidR="00E56A82" w:rsidRDefault="00E56A82" w:rsidP="00F215E3"/>
    <w:p w:rsidR="00E56A82" w:rsidRDefault="00634676" w:rsidP="00F215E3">
      <w:r>
        <w:rPr>
          <w:rFonts w:hint="eastAsia"/>
        </w:rPr>
        <w:lastRenderedPageBreak/>
        <w:t>●</w:t>
      </w:r>
      <w:r w:rsidR="00E56A82">
        <w:rPr>
          <w:rFonts w:hint="eastAsia"/>
        </w:rPr>
        <w:t>挙証責任（証明責任</w:t>
      </w:r>
      <w:r w:rsidR="00CC0A7E">
        <w:rPr>
          <w:rFonts w:hint="eastAsia"/>
        </w:rPr>
        <w:t>・立証責任</w:t>
      </w:r>
      <w:r w:rsidR="00E56A82">
        <w:rPr>
          <w:rFonts w:hint="eastAsia"/>
        </w:rPr>
        <w:t>）</w:t>
      </w:r>
    </w:p>
    <w:p w:rsidR="00E56A82" w:rsidRDefault="00E56A82" w:rsidP="00E56A82">
      <w:r>
        <w:rPr>
          <w:rFonts w:hint="eastAsia"/>
        </w:rPr>
        <w:t>訴訟において一定の事実の存否が確定されない場合に、その存否が確定されないことにより当事者の一方に帰せられる不利益。立証責任、証明責任ともいう。民事訴訟法〔民訴〕上は、原則として、権利関係の発生、変更、消滅等の法律効果を主張する者が挙証責任を負うと考えられており、刑事訴訟法〔刑訴〕上は、一般に検察官が挙証責任を負う。</w:t>
      </w:r>
    </w:p>
    <w:p w:rsidR="00E56A82" w:rsidRDefault="00E56A82" w:rsidP="00E56A82">
      <w:r>
        <w:rPr>
          <w:rFonts w:hint="eastAsia"/>
        </w:rPr>
        <w:t>[</w:t>
      </w:r>
      <w:r>
        <w:rPr>
          <w:rFonts w:hint="eastAsia"/>
        </w:rPr>
        <w:t>有斐閣</w:t>
      </w:r>
      <w:r>
        <w:rPr>
          <w:rFonts w:hint="eastAsia"/>
        </w:rPr>
        <w:t xml:space="preserve"> </w:t>
      </w:r>
      <w:r>
        <w:rPr>
          <w:rFonts w:hint="eastAsia"/>
        </w:rPr>
        <w:t>法律用語辞典第３版</w:t>
      </w:r>
      <w:r>
        <w:rPr>
          <w:rFonts w:hint="eastAsia"/>
        </w:rPr>
        <w:t>]</w:t>
      </w:r>
    </w:p>
    <w:p w:rsidR="00AB771C" w:rsidRPr="000147CC" w:rsidRDefault="00AB771C" w:rsidP="00AB771C"/>
    <w:p w:rsidR="00AB771C" w:rsidRDefault="00B67C07" w:rsidP="00AB771C">
      <w:r>
        <w:rPr>
          <w:rFonts w:hint="eastAsia"/>
        </w:rPr>
        <w:t>●</w:t>
      </w:r>
      <w:r w:rsidR="00AB771C">
        <w:rPr>
          <w:rFonts w:hint="eastAsia"/>
        </w:rPr>
        <w:t>上告受理の申し立て</w:t>
      </w:r>
      <w:r w:rsidR="00F6180D">
        <w:rPr>
          <w:rFonts w:hint="eastAsia"/>
        </w:rPr>
        <w:t>：民事訴訟で原判決に判例違反などの法令違反があるとして最高裁判所に対して上告審として事件を受理するように求める申し立て。</w:t>
      </w:r>
    </w:p>
    <w:p w:rsidR="0064302B" w:rsidRDefault="0064302B" w:rsidP="00AB771C">
      <w:r>
        <w:rPr>
          <w:rFonts w:hint="eastAsia"/>
        </w:rPr>
        <w:t>＊上告審</w:t>
      </w:r>
    </w:p>
    <w:p w:rsidR="00AB771C" w:rsidRPr="00F215E3" w:rsidRDefault="00AB771C" w:rsidP="00AB771C">
      <w:r>
        <w:rPr>
          <w:rFonts w:hint="eastAsia"/>
        </w:rPr>
        <w:t xml:space="preserve">民事訴訟において、原判決に不服のある当事者が、原判決に判例違反等の法令違反があることを理由に、最高裁判所に対して、上告審として事件を受理するように求める申立て（民訴三一八）〔民訴三一八〕。平成八年の民事訴訟法の改正により、最高裁判所にする上告の理由が原判決の憲法解釈の誤りや重大な手続違反に限られ、原判決の法令違反は上告理由とはならないこととなったが（三一二）〔民訴三一二〕、同時に、最高裁判所の判例解釈の統一の機能を重視する観点から、原判決に最高裁判所等の判例と相反する判断がある事件、その他の法令の解釈に関する重要な事項を含むものと認められる事件について、上告受理申立て制度が設けられた。最高裁判所が上告審として事件を受理する決定をした場合には、上告があったものとみなされる。刑事訴訟法にも、同様の制度がある（四〇六）〔刑訴四〇六〕。　　</w:t>
      </w:r>
      <w:r>
        <w:rPr>
          <w:rFonts w:hint="eastAsia"/>
        </w:rPr>
        <w:t>[</w:t>
      </w:r>
      <w:r>
        <w:rPr>
          <w:rFonts w:hint="eastAsia"/>
        </w:rPr>
        <w:t>有斐閣</w:t>
      </w:r>
      <w:r>
        <w:rPr>
          <w:rFonts w:hint="eastAsia"/>
        </w:rPr>
        <w:t xml:space="preserve"> </w:t>
      </w:r>
      <w:r>
        <w:rPr>
          <w:rFonts w:hint="eastAsia"/>
        </w:rPr>
        <w:t>法律用語辞典第３版</w:t>
      </w:r>
      <w:r>
        <w:rPr>
          <w:rFonts w:hint="eastAsia"/>
        </w:rPr>
        <w:t>]</w:t>
      </w:r>
    </w:p>
    <w:sectPr w:rsidR="00AB771C" w:rsidRPr="00F215E3" w:rsidSect="008E666F">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59" w:rsidRDefault="00CC2A59" w:rsidP="00CC2A59">
      <w:r>
        <w:separator/>
      </w:r>
    </w:p>
  </w:endnote>
  <w:endnote w:type="continuationSeparator" w:id="0">
    <w:p w:rsidR="00CC2A59" w:rsidRDefault="00CC2A59" w:rsidP="00CC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59" w:rsidRDefault="00CC2A59" w:rsidP="00CC2A59">
      <w:r>
        <w:separator/>
      </w:r>
    </w:p>
  </w:footnote>
  <w:footnote w:type="continuationSeparator" w:id="0">
    <w:p w:rsidR="00CC2A59" w:rsidRDefault="00CC2A59" w:rsidP="00CC2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26EF"/>
    <w:multiLevelType w:val="hybridMultilevel"/>
    <w:tmpl w:val="9482A688"/>
    <w:lvl w:ilvl="0" w:tplc="3E50ECAE">
      <w:start w:val="1"/>
      <w:numFmt w:val="bullet"/>
      <w:lvlText w:val=""/>
      <w:lvlJc w:val="left"/>
      <w:pPr>
        <w:tabs>
          <w:tab w:val="num" w:pos="720"/>
        </w:tabs>
        <w:ind w:left="720" w:hanging="360"/>
      </w:pPr>
      <w:rPr>
        <w:rFonts w:ascii="Wingdings" w:hAnsi="Wingdings" w:hint="default"/>
      </w:rPr>
    </w:lvl>
    <w:lvl w:ilvl="1" w:tplc="7D628DE4" w:tentative="1">
      <w:start w:val="1"/>
      <w:numFmt w:val="bullet"/>
      <w:lvlText w:val=""/>
      <w:lvlJc w:val="left"/>
      <w:pPr>
        <w:tabs>
          <w:tab w:val="num" w:pos="1440"/>
        </w:tabs>
        <w:ind w:left="1440" w:hanging="360"/>
      </w:pPr>
      <w:rPr>
        <w:rFonts w:ascii="Wingdings" w:hAnsi="Wingdings" w:hint="default"/>
      </w:rPr>
    </w:lvl>
    <w:lvl w:ilvl="2" w:tplc="C97658B4" w:tentative="1">
      <w:start w:val="1"/>
      <w:numFmt w:val="bullet"/>
      <w:lvlText w:val=""/>
      <w:lvlJc w:val="left"/>
      <w:pPr>
        <w:tabs>
          <w:tab w:val="num" w:pos="2160"/>
        </w:tabs>
        <w:ind w:left="2160" w:hanging="360"/>
      </w:pPr>
      <w:rPr>
        <w:rFonts w:ascii="Wingdings" w:hAnsi="Wingdings" w:hint="default"/>
      </w:rPr>
    </w:lvl>
    <w:lvl w:ilvl="3" w:tplc="51048336" w:tentative="1">
      <w:start w:val="1"/>
      <w:numFmt w:val="bullet"/>
      <w:lvlText w:val=""/>
      <w:lvlJc w:val="left"/>
      <w:pPr>
        <w:tabs>
          <w:tab w:val="num" w:pos="2880"/>
        </w:tabs>
        <w:ind w:left="2880" w:hanging="360"/>
      </w:pPr>
      <w:rPr>
        <w:rFonts w:ascii="Wingdings" w:hAnsi="Wingdings" w:hint="default"/>
      </w:rPr>
    </w:lvl>
    <w:lvl w:ilvl="4" w:tplc="56820E20" w:tentative="1">
      <w:start w:val="1"/>
      <w:numFmt w:val="bullet"/>
      <w:lvlText w:val=""/>
      <w:lvlJc w:val="left"/>
      <w:pPr>
        <w:tabs>
          <w:tab w:val="num" w:pos="3600"/>
        </w:tabs>
        <w:ind w:left="3600" w:hanging="360"/>
      </w:pPr>
      <w:rPr>
        <w:rFonts w:ascii="Wingdings" w:hAnsi="Wingdings" w:hint="default"/>
      </w:rPr>
    </w:lvl>
    <w:lvl w:ilvl="5" w:tplc="4B600446" w:tentative="1">
      <w:start w:val="1"/>
      <w:numFmt w:val="bullet"/>
      <w:lvlText w:val=""/>
      <w:lvlJc w:val="left"/>
      <w:pPr>
        <w:tabs>
          <w:tab w:val="num" w:pos="4320"/>
        </w:tabs>
        <w:ind w:left="4320" w:hanging="360"/>
      </w:pPr>
      <w:rPr>
        <w:rFonts w:ascii="Wingdings" w:hAnsi="Wingdings" w:hint="default"/>
      </w:rPr>
    </w:lvl>
    <w:lvl w:ilvl="6" w:tplc="5C2EC308" w:tentative="1">
      <w:start w:val="1"/>
      <w:numFmt w:val="bullet"/>
      <w:lvlText w:val=""/>
      <w:lvlJc w:val="left"/>
      <w:pPr>
        <w:tabs>
          <w:tab w:val="num" w:pos="5040"/>
        </w:tabs>
        <w:ind w:left="5040" w:hanging="360"/>
      </w:pPr>
      <w:rPr>
        <w:rFonts w:ascii="Wingdings" w:hAnsi="Wingdings" w:hint="default"/>
      </w:rPr>
    </w:lvl>
    <w:lvl w:ilvl="7" w:tplc="984897C4" w:tentative="1">
      <w:start w:val="1"/>
      <w:numFmt w:val="bullet"/>
      <w:lvlText w:val=""/>
      <w:lvlJc w:val="left"/>
      <w:pPr>
        <w:tabs>
          <w:tab w:val="num" w:pos="5760"/>
        </w:tabs>
        <w:ind w:left="5760" w:hanging="360"/>
      </w:pPr>
      <w:rPr>
        <w:rFonts w:ascii="Wingdings" w:hAnsi="Wingdings" w:hint="default"/>
      </w:rPr>
    </w:lvl>
    <w:lvl w:ilvl="8" w:tplc="CBD6845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5E3"/>
    <w:rsid w:val="000147CC"/>
    <w:rsid w:val="00244FD1"/>
    <w:rsid w:val="00254A35"/>
    <w:rsid w:val="002B5777"/>
    <w:rsid w:val="0033433C"/>
    <w:rsid w:val="00336D7A"/>
    <w:rsid w:val="00396032"/>
    <w:rsid w:val="00465DC0"/>
    <w:rsid w:val="005002E4"/>
    <w:rsid w:val="00597F7D"/>
    <w:rsid w:val="005C1E1D"/>
    <w:rsid w:val="006255E9"/>
    <w:rsid w:val="00634676"/>
    <w:rsid w:val="0064302B"/>
    <w:rsid w:val="00726CF4"/>
    <w:rsid w:val="007862D4"/>
    <w:rsid w:val="0080496F"/>
    <w:rsid w:val="00873ADE"/>
    <w:rsid w:val="008E666F"/>
    <w:rsid w:val="00917305"/>
    <w:rsid w:val="009B7912"/>
    <w:rsid w:val="00A505EF"/>
    <w:rsid w:val="00A70061"/>
    <w:rsid w:val="00AB771C"/>
    <w:rsid w:val="00AF383B"/>
    <w:rsid w:val="00B3107A"/>
    <w:rsid w:val="00B3345B"/>
    <w:rsid w:val="00B67C07"/>
    <w:rsid w:val="00BD125F"/>
    <w:rsid w:val="00BE15F3"/>
    <w:rsid w:val="00C018B9"/>
    <w:rsid w:val="00C40F6B"/>
    <w:rsid w:val="00C5476C"/>
    <w:rsid w:val="00C635B2"/>
    <w:rsid w:val="00CA4737"/>
    <w:rsid w:val="00CC0A7E"/>
    <w:rsid w:val="00CC2A59"/>
    <w:rsid w:val="00CE0726"/>
    <w:rsid w:val="00D375D2"/>
    <w:rsid w:val="00E56A82"/>
    <w:rsid w:val="00E7226B"/>
    <w:rsid w:val="00E94D32"/>
    <w:rsid w:val="00EB3C9C"/>
    <w:rsid w:val="00F13FD1"/>
    <w:rsid w:val="00F215E3"/>
    <w:rsid w:val="00F6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2A59"/>
    <w:pPr>
      <w:tabs>
        <w:tab w:val="center" w:pos="4252"/>
        <w:tab w:val="right" w:pos="8504"/>
      </w:tabs>
      <w:snapToGrid w:val="0"/>
    </w:pPr>
  </w:style>
  <w:style w:type="character" w:customStyle="1" w:styleId="a4">
    <w:name w:val="ヘッダー (文字)"/>
    <w:basedOn w:val="a0"/>
    <w:link w:val="a3"/>
    <w:uiPriority w:val="99"/>
    <w:semiHidden/>
    <w:rsid w:val="00CC2A59"/>
  </w:style>
  <w:style w:type="paragraph" w:styleId="a5">
    <w:name w:val="footer"/>
    <w:basedOn w:val="a"/>
    <w:link w:val="a6"/>
    <w:uiPriority w:val="99"/>
    <w:unhideWhenUsed/>
    <w:rsid w:val="00CC2A59"/>
    <w:pPr>
      <w:tabs>
        <w:tab w:val="center" w:pos="4252"/>
        <w:tab w:val="right" w:pos="8504"/>
      </w:tabs>
      <w:snapToGrid w:val="0"/>
    </w:pPr>
  </w:style>
  <w:style w:type="character" w:customStyle="1" w:styleId="a6">
    <w:name w:val="フッター (文字)"/>
    <w:basedOn w:val="a0"/>
    <w:link w:val="a5"/>
    <w:uiPriority w:val="99"/>
    <w:rsid w:val="00CC2A59"/>
  </w:style>
  <w:style w:type="paragraph" w:styleId="a7">
    <w:name w:val="Balloon Text"/>
    <w:basedOn w:val="a"/>
    <w:link w:val="a8"/>
    <w:uiPriority w:val="99"/>
    <w:semiHidden/>
    <w:unhideWhenUsed/>
    <w:rsid w:val="008E6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6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8051">
      <w:bodyDiv w:val="1"/>
      <w:marLeft w:val="0"/>
      <w:marRight w:val="0"/>
      <w:marTop w:val="0"/>
      <w:marBottom w:val="0"/>
      <w:divBdr>
        <w:top w:val="none" w:sz="0" w:space="0" w:color="auto"/>
        <w:left w:val="none" w:sz="0" w:space="0" w:color="auto"/>
        <w:bottom w:val="none" w:sz="0" w:space="0" w:color="auto"/>
        <w:right w:val="none" w:sz="0" w:space="0" w:color="auto"/>
      </w:divBdr>
      <w:divsChild>
        <w:div w:id="173913576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8C033-A908-44B0-820C-0F274EF3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3AD7C3C2.dotm</Template>
  <TotalTime>498</TotalTime>
  <Pages>4</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Ichie</dc:creator>
  <cp:lastModifiedBy>竹島 一恵</cp:lastModifiedBy>
  <cp:revision>9</cp:revision>
  <cp:lastPrinted>2012-10-11T03:37:00Z</cp:lastPrinted>
  <dcterms:created xsi:type="dcterms:W3CDTF">2012-10-08T12:26:00Z</dcterms:created>
  <dcterms:modified xsi:type="dcterms:W3CDTF">2012-10-11T03:39:00Z</dcterms:modified>
</cp:coreProperties>
</file>