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hint="eastAsia"/>
          <w:b/>
          <w:bCs/>
          <w:lang w:val="en-US" w:eastAsia="ja-JP"/>
        </w:rPr>
      </w:pPr>
      <w:r>
        <w:rPr>
          <w:rFonts w:hint="eastAsia"/>
          <w:b/>
          <w:bCs/>
          <w:lang w:val="en-US" w:eastAsia="ja-JP"/>
        </w:rPr>
        <w:t>・刑事訴訟法とは</w:t>
      </w:r>
    </w:p>
    <w:p>
      <w:pPr>
        <w:rPr>
          <w:rFonts w:hint="eastAsia"/>
          <w:lang w:val="en-US" w:eastAsia="ja-JP"/>
        </w:rPr>
      </w:pPr>
      <w:r>
        <w:rPr>
          <w:rFonts w:hint="eastAsia"/>
          <w:lang w:val="en-US" w:eastAsia="ja-JP"/>
        </w:rPr>
        <w:t>刑法＝犯罪と刑罰に関する法律（実体法）</w:t>
      </w:r>
    </w:p>
    <w:p>
      <w:pPr>
        <w:numPr>
          <w:numId w:val="0"/>
        </w:numPr>
        <w:rPr>
          <w:rFonts w:hint="eastAsia"/>
          <w:lang w:val="en-US" w:eastAsia="ja-JP"/>
        </w:rPr>
      </w:pPr>
      <w:r>
        <w:rPr>
          <w:rFonts w:hint="eastAsia"/>
          <w:lang w:val="en-US" w:eastAsia="ja-JP"/>
        </w:rPr>
        <w:t>国家的強制によってその意図する保障を実現する法の中で最も強力なもの。私法関係とは異なり刑法による罪責は刑訴法によって定められた手続きによる。</w:t>
      </w:r>
    </w:p>
    <w:p>
      <w:pPr>
        <w:numPr>
          <w:numId w:val="0"/>
        </w:numPr>
        <w:rPr>
          <w:rFonts w:hint="eastAsia"/>
          <w:lang w:val="en-US" w:eastAsia="ja-JP"/>
        </w:rPr>
      </w:pPr>
    </w:p>
    <w:p>
      <w:pPr>
        <w:numPr>
          <w:numId w:val="0"/>
        </w:numPr>
        <w:rPr>
          <w:rFonts w:hint="eastAsia"/>
          <w:lang w:val="en-US" w:eastAsia="ja-JP"/>
        </w:rPr>
      </w:pPr>
      <w:r>
        <w:rPr>
          <w:rFonts w:hint="eastAsia"/>
          <w:b/>
          <w:bCs/>
          <w:lang w:val="en-US" w:eastAsia="ja-JP"/>
        </w:rPr>
        <w:t>・捜査とは</w:t>
      </w:r>
    </w:p>
    <w:p>
      <w:pPr>
        <w:numPr>
          <w:numId w:val="0"/>
        </w:numPr>
        <w:rPr>
          <w:rFonts w:hint="eastAsia"/>
          <w:lang w:val="en-US" w:eastAsia="ja-JP"/>
        </w:rPr>
      </w:pPr>
      <w:r>
        <w:rPr>
          <w:rFonts w:hint="eastAsia"/>
          <w:lang w:val="en-US" w:eastAsia="ja-JP"/>
        </w:rPr>
        <w:t>警察や検察などの捜査機関において犯罪があると判断したとき、公訴の定義（起訴）及び遂行（公判維持）のため犯人を発見し証拠を収集、保全する手続き。（刑訴法１８９条２項、１９１条１項）</w:t>
      </w:r>
    </w:p>
    <w:p>
      <w:pPr>
        <w:numPr>
          <w:numId w:val="0"/>
        </w:numPr>
        <w:rPr>
          <w:rFonts w:hint="eastAsia"/>
          <w:lang w:val="en-US" w:eastAsia="ja-JP"/>
        </w:rPr>
      </w:pPr>
    </w:p>
    <w:p>
      <w:pPr>
        <w:numPr>
          <w:numId w:val="0"/>
        </w:numPr>
        <w:rPr>
          <w:rFonts w:hint="eastAsia"/>
          <w:lang w:val="en-US" w:eastAsia="ja-JP"/>
        </w:rPr>
      </w:pPr>
      <w:r>
        <w:rPr>
          <w:rFonts w:hint="eastAsia"/>
          <w:lang w:val="en-US" w:eastAsia="ja-JP"/>
        </w:rPr>
        <w:t>１９７条１項は、「捜査については、その目的を達するため必要な取調をすることができる。但し、強制の処分は、この法律に特別の定のある場合でなければ、これをすることができ</w:t>
      </w:r>
      <w:bookmarkStart w:id="0" w:name="_GoBack"/>
      <w:bookmarkEnd w:id="0"/>
      <w:r>
        <w:rPr>
          <w:rFonts w:hint="eastAsia"/>
          <w:lang w:val="en-US" w:eastAsia="ja-JP"/>
        </w:rPr>
        <w:t>ない」と規定されている。ここでいう「取調」は証拠収集、被疑者の身柄保全をも含む捜査活動全般を指すものと解されている。</w:t>
      </w:r>
    </w:p>
    <w:p>
      <w:pPr>
        <w:numPr>
          <w:numId w:val="0"/>
        </w:numPr>
        <w:rPr>
          <w:rFonts w:hint="eastAsia"/>
          <w:lang w:val="en-US" w:eastAsia="ja-JP"/>
        </w:rPr>
      </w:pPr>
    </w:p>
    <w:p>
      <w:pPr>
        <w:numPr>
          <w:numId w:val="0"/>
        </w:numPr>
        <w:rPr>
          <w:rFonts w:hint="eastAsia"/>
          <w:lang w:val="en-US" w:eastAsia="ja-JP"/>
        </w:rPr>
      </w:pPr>
      <w:r>
        <w:rPr>
          <w:rFonts w:hint="eastAsia"/>
          <w:lang w:val="en-US" w:eastAsia="ja-JP"/>
        </w:rPr>
        <w:t>　これは捜査には</w:t>
      </w:r>
      <w:r>
        <w:rPr>
          <w:rFonts w:hint="eastAsia"/>
          <w:b w:val="0"/>
          <w:bCs w:val="0"/>
          <w:u w:val="single"/>
          <w:lang w:val="en-US" w:eastAsia="ja-JP"/>
        </w:rPr>
        <w:t>任意処分としての</w:t>
      </w:r>
      <w:r>
        <w:rPr>
          <w:rFonts w:hint="eastAsia"/>
          <w:b/>
          <w:bCs/>
          <w:u w:val="single"/>
          <w:lang w:val="en-US" w:eastAsia="ja-JP"/>
        </w:rPr>
        <w:t>任意捜査</w:t>
      </w:r>
      <w:r>
        <w:rPr>
          <w:rFonts w:hint="eastAsia"/>
          <w:lang w:val="en-US" w:eastAsia="ja-JP"/>
        </w:rPr>
        <w:t>と、</w:t>
      </w:r>
      <w:r>
        <w:rPr>
          <w:rFonts w:hint="eastAsia"/>
          <w:b w:val="0"/>
          <w:bCs w:val="0"/>
          <w:u w:val="single"/>
          <w:lang w:val="en-US" w:eastAsia="ja-JP"/>
        </w:rPr>
        <w:t>強制処分としての</w:t>
      </w:r>
      <w:r>
        <w:rPr>
          <w:rFonts w:hint="eastAsia"/>
          <w:b/>
          <w:bCs/>
          <w:u w:val="single"/>
          <w:lang w:val="en-US" w:eastAsia="ja-JP"/>
        </w:rPr>
        <w:t>強制捜査</w:t>
      </w:r>
      <w:r>
        <w:rPr>
          <w:rFonts w:hint="eastAsia"/>
          <w:lang w:val="en-US" w:eastAsia="ja-JP"/>
        </w:rPr>
        <w:t>があり、任意捜査は１９７条本文が包括的な根拠規定となり「必要」な範囲ですることができるのに対し、強制捜査の場合は１９７条１項但書によって「法律に特別な定」が必要（</w:t>
      </w:r>
      <w:r>
        <w:rPr>
          <w:rFonts w:hint="eastAsia"/>
          <w:b/>
          <w:bCs/>
          <w:lang w:val="en-US" w:eastAsia="ja-JP"/>
        </w:rPr>
        <w:t>強制処分法定主義</w:t>
      </w:r>
      <w:r>
        <w:rPr>
          <w:rFonts w:hint="eastAsia"/>
          <w:lang w:val="en-US" w:eastAsia="ja-JP"/>
        </w:rPr>
        <w:t>）と条文は規定している。</w:t>
      </w:r>
    </w:p>
    <w:p>
      <w:pPr>
        <w:numPr>
          <w:numId w:val="0"/>
        </w:numPr>
        <w:rPr>
          <w:rFonts w:hint="eastAsia"/>
          <w:lang w:val="en-US" w:eastAsia="ja-JP"/>
        </w:rPr>
      </w:pPr>
    </w:p>
    <w:p>
      <w:pPr>
        <w:numPr>
          <w:numId w:val="0"/>
        </w:numPr>
        <w:rPr>
          <w:rFonts w:hint="eastAsia"/>
          <w:lang w:val="en-US" w:eastAsia="ja-JP"/>
        </w:rPr>
      </w:pPr>
      <w:r>
        <w:rPr>
          <w:rFonts w:hint="eastAsia"/>
          <w:lang w:val="en-US" w:eastAsia="ja-JP"/>
        </w:rPr>
        <w:t>　両者の区分は、１９７条但書の「強制処分」の文言解釈によって決し、強制捜査以外の捜査を任意捜査と位置付けられる。</w:t>
      </w:r>
    </w:p>
    <w:p>
      <w:pPr>
        <w:numPr>
          <w:numId w:val="0"/>
        </w:numPr>
        <w:rPr>
          <w:rFonts w:hint="eastAsia"/>
          <w:lang w:val="en-US" w:eastAsia="ja-JP"/>
        </w:rPr>
      </w:pPr>
      <w:r>
        <w:rPr>
          <w:rFonts w:hint="eastAsia"/>
          <w:lang w:val="en-US" w:eastAsia="ja-JP"/>
        </w:rPr>
        <w:t>判例では共通の理解として「強制処分」を「</w:t>
      </w:r>
      <w:r>
        <w:rPr>
          <w:rFonts w:hint="eastAsia"/>
          <w:u w:val="single"/>
          <w:lang w:val="en-US" w:eastAsia="ja-JP"/>
        </w:rPr>
        <w:t>①個人の意思を制圧し、②身体、住居、財産等に制約を加えて③強制的に捜査目的を実現する行為など、特別の根拠規定がなければ許容することが相当でない手段」と定義</w:t>
      </w:r>
      <w:r>
        <w:rPr>
          <w:rFonts w:hint="eastAsia"/>
          <w:lang w:val="en-US" w:eastAsia="ja-JP"/>
        </w:rPr>
        <w:t>されている。</w:t>
      </w:r>
    </w:p>
    <w:p>
      <w:pPr>
        <w:numPr>
          <w:numId w:val="0"/>
        </w:numPr>
        <w:rPr>
          <w:rFonts w:hint="eastAsia"/>
          <w:lang w:val="en-US" w:eastAsia="ja-JP"/>
        </w:rPr>
      </w:pPr>
    </w:p>
    <w:p>
      <w:pPr>
        <w:numPr>
          <w:numId w:val="0"/>
        </w:numPr>
        <w:rPr>
          <w:rFonts w:hint="eastAsia"/>
          <w:b w:val="0"/>
          <w:bCs w:val="0"/>
          <w:lang w:val="en-US" w:eastAsia="ja-JP"/>
        </w:rPr>
      </w:pPr>
      <w:r>
        <w:rPr>
          <w:rFonts w:hint="eastAsia"/>
          <w:lang w:val="en-US" w:eastAsia="ja-JP"/>
        </w:rPr>
        <w:t>　また、強制捜査では</w:t>
      </w:r>
      <w:r>
        <w:rPr>
          <w:rFonts w:hint="eastAsia"/>
          <w:b/>
          <w:bCs/>
          <w:lang w:val="en-US" w:eastAsia="ja-JP"/>
        </w:rPr>
        <w:t>令状主義</w:t>
      </w:r>
      <w:r>
        <w:rPr>
          <w:rFonts w:hint="eastAsia"/>
          <w:b w:val="0"/>
          <w:bCs w:val="0"/>
          <w:lang w:val="en-US" w:eastAsia="ja-JP"/>
        </w:rPr>
        <w:t>がとられており、これは強制処分を裁判官の発する令状によらなければ実行できないとする原則である。（憲法３３条、３５条）強制処分の正当性を公正な第三者に審査させることによろ捜査機関の権限乱用を抑制し、私人の人権を保護することを目的としている。現行犯の逮捕など一定の場合は例外も認められている。</w:t>
      </w:r>
    </w:p>
    <w:p>
      <w:pPr>
        <w:numPr>
          <w:numId w:val="0"/>
        </w:numPr>
        <w:rPr>
          <w:rFonts w:hint="eastAsia"/>
          <w:b w:val="0"/>
          <w:bCs w:val="0"/>
          <w:lang w:val="en-US" w:eastAsia="ja-JP"/>
        </w:rPr>
      </w:pPr>
    </w:p>
    <w:sectPr>
      <w:pgSz w:w="11906" w:h="16838"/>
      <w:pgMar w:top="1985"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Century">
    <w:altName w:val="Nyala"/>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Century">
    <w:altName w:val="Nyala"/>
    <w:panose1 w:val="02040604050505020304"/>
    <w:charset w:val="00"/>
    <w:family w:val="modern"/>
    <w:pitch w:val="default"/>
    <w:sig w:usb0="00000000" w:usb1="00000000" w:usb2="00000000" w:usb3="00000000" w:csb0="2000009F" w:csb1="DFD70000"/>
  </w:font>
  <w:font w:name="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ＭＳ 明朝">
    <w:panose1 w:val="02020609040205080304"/>
    <w:charset w:val="80"/>
    <w:family w:val="auto"/>
    <w:pitch w:val="default"/>
    <w:sig w:usb0="E00002FF" w:usb1="6AC7FDFB" w:usb2="08000012" w:usb3="00000000" w:csb0="4002009F" w:csb1="DFD70000"/>
  </w:font>
  <w:font w:name="Nyala">
    <w:panose1 w:val="02000504070300020003"/>
    <w:charset w:val="00"/>
    <w:family w:val="auto"/>
    <w:pitch w:val="default"/>
    <w:sig w:usb0="A000006F" w:usb1="00000000" w:usb2="00000800" w:usb3="00000000" w:csb0="00000093" w:csb1="00000000"/>
  </w:font>
  <w:font w:name="Nyala">
    <w:panose1 w:val="02000504070300020003"/>
    <w:charset w:val="00"/>
    <w:family w:val="roman"/>
    <w:pitch w:val="default"/>
    <w:sig w:usb0="A000006F" w:usb1="00000000" w:usb2="000008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462E2D"/>
    <w:rsid w:val="0E6B26B6"/>
    <w:rsid w:val="182E403B"/>
    <w:rsid w:val="18EA21F0"/>
    <w:rsid w:val="21AD61D1"/>
    <w:rsid w:val="368D366F"/>
    <w:rsid w:val="45585FD3"/>
    <w:rsid w:val="73462E2D"/>
  </w:rsid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ja-JP"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Kingsoft Office Professional_10.8.0.5416_F1E327BC-269C-435d-A152-05C5408002CA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2017-07-11T13:49:00Z</dcterms:created>
  <dc:creator>tmr23</dc:creator>
  <cp:lastModifiedBy>tmr23</cp:lastModifiedBy>
  <dcterms:modified xsi:type="dcterms:W3CDTF">2017-07-11T15:03:37Z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1041-10.8.0.5416</vt:lpwstr>
  </property>
</Properties>
</file>