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457CF" w14:textId="4550C16F" w:rsidR="00CA7F82" w:rsidRPr="001C05EE" w:rsidRDefault="00CA7F82">
      <w:pPr>
        <w:rPr>
          <w:b/>
          <w:sz w:val="28"/>
          <w:szCs w:val="28"/>
        </w:rPr>
      </w:pPr>
      <w:bookmarkStart w:id="0" w:name="_GoBack"/>
      <w:bookmarkEnd w:id="0"/>
      <w:r w:rsidRPr="001C05EE">
        <w:rPr>
          <w:rFonts w:hint="eastAsia"/>
          <w:b/>
          <w:sz w:val="28"/>
          <w:szCs w:val="28"/>
        </w:rPr>
        <w:t>医療行為の中止</w:t>
      </w:r>
      <w:r w:rsidR="005A6329" w:rsidRPr="001C05EE">
        <w:rPr>
          <w:rFonts w:hint="eastAsia"/>
          <w:b/>
          <w:sz w:val="28"/>
          <w:szCs w:val="28"/>
        </w:rPr>
        <w:t>の許容性</w:t>
      </w:r>
    </w:p>
    <w:p w14:paraId="688E42A6" w14:textId="6D2E1A73" w:rsidR="00F06D24" w:rsidRPr="001C05EE" w:rsidRDefault="003B68D1">
      <w:pPr>
        <w:rPr>
          <w:sz w:val="24"/>
          <w:szCs w:val="24"/>
        </w:rPr>
      </w:pPr>
      <w:r w:rsidRPr="001C05EE">
        <w:rPr>
          <w:rFonts w:hint="eastAsia"/>
          <w:b/>
          <w:sz w:val="24"/>
          <w:szCs w:val="24"/>
        </w:rPr>
        <w:t>尊厳死に関する意見</w:t>
      </w:r>
    </w:p>
    <w:p w14:paraId="1CB998A1" w14:textId="5842E253" w:rsidR="00F06D24" w:rsidRPr="003B68D1" w:rsidRDefault="00F06D24">
      <w:pPr>
        <w:rPr>
          <w:b/>
          <w:sz w:val="22"/>
        </w:rPr>
      </w:pPr>
      <w:r>
        <w:rPr>
          <w:rFonts w:hint="eastAsia"/>
          <w:szCs w:val="21"/>
        </w:rPr>
        <w:t xml:space="preserve">　尊厳死が問題になる医療行為の中止の正当性を認めるかどうかに</w:t>
      </w:r>
      <w:r w:rsidR="005241E4">
        <w:rPr>
          <w:rFonts w:hint="eastAsia"/>
          <w:szCs w:val="21"/>
        </w:rPr>
        <w:t>ついては、様々な意見がある。尊厳死は安楽死と異なり、身体的苦痛がない場合であっても問題になるので、</w:t>
      </w:r>
      <w:r w:rsidR="00844E7C">
        <w:rPr>
          <w:rFonts w:hint="eastAsia"/>
          <w:szCs w:val="21"/>
        </w:rPr>
        <w:t>患者の自己決定権に正当性の根拠を見出す一方で、正当化を危惧する意見もある。</w:t>
      </w:r>
    </w:p>
    <w:p w14:paraId="35CF39E1" w14:textId="4A109CE8" w:rsidR="008E57CE" w:rsidRPr="002C7A05" w:rsidRDefault="00F06D24">
      <w:pPr>
        <w:rPr>
          <w:b/>
        </w:rPr>
      </w:pPr>
      <w:r>
        <w:rPr>
          <w:rFonts w:hint="eastAsia"/>
          <w:b/>
        </w:rPr>
        <w:t>尊厳死を肯定する</w:t>
      </w:r>
      <w:r w:rsidR="008E57CE" w:rsidRPr="002C7A05">
        <w:rPr>
          <w:rFonts w:hint="eastAsia"/>
          <w:b/>
        </w:rPr>
        <w:t>意見</w:t>
      </w:r>
    </w:p>
    <w:p w14:paraId="69EC3A96" w14:textId="77777777" w:rsidR="008E57CE" w:rsidRDefault="008E57CE">
      <w:r>
        <w:rPr>
          <w:rFonts w:hint="eastAsia"/>
        </w:rPr>
        <w:t>・患者には「死ぬ権利」がある。</w:t>
      </w:r>
    </w:p>
    <w:p w14:paraId="26908222" w14:textId="66A3C37D" w:rsidR="008E57CE" w:rsidRDefault="008E57CE">
      <w:r>
        <w:rPr>
          <w:rFonts w:hint="eastAsia"/>
        </w:rPr>
        <w:t>・回復不可能な者に</w:t>
      </w:r>
      <w:r w:rsidR="00FC623B">
        <w:rPr>
          <w:rFonts w:hint="eastAsia"/>
        </w:rPr>
        <w:t>生きることを強要するのは残酷である。</w:t>
      </w:r>
    </w:p>
    <w:p w14:paraId="338F8E45" w14:textId="7EFD2D25" w:rsidR="005A6329" w:rsidRDefault="005A6329">
      <w:r>
        <w:rPr>
          <w:rFonts w:hint="eastAsia"/>
        </w:rPr>
        <w:t>・患者の意思を尊重すべきである。</w:t>
      </w:r>
    </w:p>
    <w:p w14:paraId="10DD0C93" w14:textId="2DED50A8" w:rsidR="00FC623B" w:rsidRPr="002C7A05" w:rsidRDefault="00F06D24">
      <w:pPr>
        <w:rPr>
          <w:b/>
        </w:rPr>
      </w:pPr>
      <w:r>
        <w:rPr>
          <w:rFonts w:hint="eastAsia"/>
          <w:b/>
        </w:rPr>
        <w:t>尊厳死の正当化を危惧する</w:t>
      </w:r>
      <w:r w:rsidR="00FC623B" w:rsidRPr="002C7A05">
        <w:rPr>
          <w:rFonts w:hint="eastAsia"/>
          <w:b/>
        </w:rPr>
        <w:t>意見</w:t>
      </w:r>
    </w:p>
    <w:p w14:paraId="0B381C0D" w14:textId="77777777" w:rsidR="00FC623B" w:rsidRDefault="00FC623B">
      <w:r>
        <w:rPr>
          <w:rFonts w:hint="eastAsia"/>
        </w:rPr>
        <w:t>・全ての者の「生きる権利」を持っており、それは無条件に尊重されなければならない。</w:t>
      </w:r>
    </w:p>
    <w:p w14:paraId="0298DE7E" w14:textId="77777777" w:rsidR="002B35EA" w:rsidRDefault="00FC623B">
      <w:r>
        <w:rPr>
          <w:rFonts w:hint="eastAsia"/>
        </w:rPr>
        <w:t>・</w:t>
      </w:r>
      <w:r w:rsidR="002B35EA">
        <w:rPr>
          <w:rFonts w:hint="eastAsia"/>
        </w:rPr>
        <w:t>医療関係者等が、入院期間短縮のために尊厳死を勧める可能性がある。</w:t>
      </w:r>
    </w:p>
    <w:p w14:paraId="2B2A13FD" w14:textId="51B010F9" w:rsidR="000A2224" w:rsidRDefault="009C2FDF">
      <w:r>
        <w:rPr>
          <w:rFonts w:hint="eastAsia"/>
        </w:rPr>
        <w:t>・</w:t>
      </w:r>
      <w:r w:rsidR="000A2224">
        <w:rPr>
          <w:rFonts w:hint="eastAsia"/>
        </w:rPr>
        <w:t>周囲の者が精神的・経済的負担の軽減を目的として実行される可能性がある。</w:t>
      </w:r>
    </w:p>
    <w:p w14:paraId="3B0D76A3" w14:textId="31F33461" w:rsidR="000975B4" w:rsidRDefault="007F0486">
      <w:r>
        <w:rPr>
          <w:rFonts w:hint="eastAsia"/>
        </w:rPr>
        <w:t xml:space="preserve">　</w:t>
      </w:r>
    </w:p>
    <w:p w14:paraId="5A2D3385" w14:textId="0C7B3B04" w:rsidR="00A130A5" w:rsidRPr="008414DF" w:rsidRDefault="00434CA8">
      <w:pPr>
        <w:rPr>
          <w:b/>
          <w:sz w:val="24"/>
          <w:szCs w:val="24"/>
        </w:rPr>
      </w:pPr>
      <w:r w:rsidRPr="008414DF">
        <w:rPr>
          <w:rFonts w:hint="eastAsia"/>
          <w:b/>
          <w:sz w:val="24"/>
          <w:szCs w:val="24"/>
        </w:rPr>
        <w:t>行政のガイドライン</w:t>
      </w:r>
    </w:p>
    <w:p w14:paraId="2B8DEBC7" w14:textId="45F52C8F" w:rsidR="00645D30" w:rsidRDefault="00A130A5">
      <w:r>
        <w:rPr>
          <w:rFonts w:hint="eastAsia"/>
        </w:rPr>
        <w:t xml:space="preserve">　</w:t>
      </w:r>
      <w:r w:rsidR="005A6329">
        <w:rPr>
          <w:rFonts w:hint="eastAsia"/>
        </w:rPr>
        <w:t>これまで、</w:t>
      </w:r>
      <w:r w:rsidR="00166E04">
        <w:rPr>
          <w:rFonts w:hint="eastAsia"/>
        </w:rPr>
        <w:t>医療行為の中止は、</w:t>
      </w:r>
      <w:r w:rsidR="000F6118">
        <w:rPr>
          <w:rFonts w:hint="eastAsia"/>
        </w:rPr>
        <w:t>患者本人や</w:t>
      </w:r>
      <w:r w:rsidR="004C3666">
        <w:rPr>
          <w:rFonts w:hint="eastAsia"/>
        </w:rPr>
        <w:t>家族の同意のもとで行われてきた。</w:t>
      </w:r>
      <w:r w:rsidR="00FE1A25">
        <w:rPr>
          <w:rFonts w:hint="eastAsia"/>
        </w:rPr>
        <w:t>裁判所は、川崎協同病院事件の第一審</w:t>
      </w:r>
      <w:r w:rsidR="00480020">
        <w:rPr>
          <w:rFonts w:hint="eastAsia"/>
        </w:rPr>
        <w:t>において</w:t>
      </w:r>
      <w:r w:rsidR="00FE1A25">
        <w:rPr>
          <w:rFonts w:hint="eastAsia"/>
        </w:rPr>
        <w:t>、</w:t>
      </w:r>
      <w:r w:rsidR="00645DBD">
        <w:rPr>
          <w:rFonts w:hint="eastAsia"/>
        </w:rPr>
        <w:t>患者の自己決定権や、医師の治療義務の限界を根拠とし</w:t>
      </w:r>
      <w:r w:rsidR="00273DBD">
        <w:rPr>
          <w:rFonts w:hint="eastAsia"/>
        </w:rPr>
        <w:t>て</w:t>
      </w:r>
      <w:r w:rsidR="00FE1A25">
        <w:rPr>
          <w:rFonts w:hint="eastAsia"/>
        </w:rPr>
        <w:t>正当性が認められる可能性があるとしている</w:t>
      </w:r>
      <w:r w:rsidR="004C4C9F">
        <w:rPr>
          <w:rFonts w:hint="eastAsia"/>
        </w:rPr>
        <w:t>。</w:t>
      </w:r>
    </w:p>
    <w:p w14:paraId="7AE4C318" w14:textId="5E81167E" w:rsidR="00480020" w:rsidRDefault="00480020">
      <w:r>
        <w:rPr>
          <w:rFonts w:hint="eastAsia"/>
        </w:rPr>
        <w:t xml:space="preserve">　しかし、</w:t>
      </w:r>
      <w:r w:rsidR="006F32C1">
        <w:rPr>
          <w:rFonts w:hint="eastAsia"/>
        </w:rPr>
        <w:t>その運用方法の統一的な基準が明確でなかったことから、その過程で担当医師が刑事訴追を受けるという</w:t>
      </w:r>
      <w:r w:rsidR="00C65C51">
        <w:rPr>
          <w:rFonts w:hint="eastAsia"/>
        </w:rPr>
        <w:t>事件が後を絶たなかった。</w:t>
      </w:r>
      <w:r w:rsidR="00921BDD">
        <w:rPr>
          <w:rFonts w:hint="eastAsia"/>
        </w:rPr>
        <w:t>特に、医師の治療義務の限界については、誰がどのようにそれを判断</w:t>
      </w:r>
      <w:r w:rsidR="00166E04">
        <w:rPr>
          <w:rFonts w:hint="eastAsia"/>
        </w:rPr>
        <w:t>するのか自明ではない。</w:t>
      </w:r>
    </w:p>
    <w:p w14:paraId="2326BBCE" w14:textId="77777777" w:rsidR="002C7A05" w:rsidRDefault="002C7A05"/>
    <w:p w14:paraId="7E384654" w14:textId="71F44B2C" w:rsidR="00A130A5" w:rsidRPr="002C7A05" w:rsidRDefault="00645D30">
      <w:pPr>
        <w:rPr>
          <w:b/>
        </w:rPr>
      </w:pPr>
      <w:r>
        <w:rPr>
          <w:rFonts w:hint="eastAsia"/>
        </w:rPr>
        <w:t xml:space="preserve">　　　　　</w:t>
      </w:r>
      <w:r w:rsidR="002C7A05">
        <w:rPr>
          <w:rFonts w:hint="eastAsia"/>
        </w:rPr>
        <w:t xml:space="preserve">　　　　　　　　　　</w:t>
      </w:r>
      <w:r>
        <w:rPr>
          <w:rFonts w:hint="eastAsia"/>
        </w:rPr>
        <w:t xml:space="preserve">　</w:t>
      </w:r>
      <w:r w:rsidRPr="002C7A05">
        <w:rPr>
          <w:rFonts w:hint="eastAsia"/>
          <w:b/>
        </w:rPr>
        <w:t>実際の判例・事件</w:t>
      </w:r>
    </w:p>
    <w:tbl>
      <w:tblPr>
        <w:tblStyle w:val="a7"/>
        <w:tblW w:w="0" w:type="auto"/>
        <w:tblLook w:val="04A0" w:firstRow="1" w:lastRow="0" w:firstColumn="1" w:lastColumn="0" w:noHBand="0" w:noVBand="1"/>
      </w:tblPr>
      <w:tblGrid>
        <w:gridCol w:w="2263"/>
        <w:gridCol w:w="3828"/>
        <w:gridCol w:w="2403"/>
      </w:tblGrid>
      <w:tr w:rsidR="00392BBC" w14:paraId="5E8EF2A3" w14:textId="77777777" w:rsidTr="00166E04">
        <w:tc>
          <w:tcPr>
            <w:tcW w:w="2263" w:type="dxa"/>
          </w:tcPr>
          <w:p w14:paraId="1B68E6E7" w14:textId="1863CF71" w:rsidR="00392BBC" w:rsidRDefault="00392BBC" w:rsidP="00392BBC">
            <w:pPr>
              <w:ind w:firstLineChars="400" w:firstLine="840"/>
            </w:pPr>
            <w:r>
              <w:rPr>
                <w:rFonts w:hint="eastAsia"/>
              </w:rPr>
              <w:t>事件名</w:t>
            </w:r>
          </w:p>
        </w:tc>
        <w:tc>
          <w:tcPr>
            <w:tcW w:w="3828" w:type="dxa"/>
          </w:tcPr>
          <w:p w14:paraId="226EF7BF" w14:textId="7B345C76" w:rsidR="00392BBC" w:rsidRDefault="00392BBC" w:rsidP="00392BBC">
            <w:pPr>
              <w:ind w:firstLineChars="500" w:firstLine="1050"/>
            </w:pPr>
            <w:r>
              <w:rPr>
                <w:rFonts w:hint="eastAsia"/>
              </w:rPr>
              <w:t>概要</w:t>
            </w:r>
          </w:p>
        </w:tc>
        <w:tc>
          <w:tcPr>
            <w:tcW w:w="2403" w:type="dxa"/>
          </w:tcPr>
          <w:p w14:paraId="16232D56" w14:textId="0AAC32D4" w:rsidR="00392BBC" w:rsidRDefault="00392BBC" w:rsidP="00392BBC">
            <w:pPr>
              <w:ind w:firstLineChars="500" w:firstLine="1050"/>
            </w:pPr>
            <w:r>
              <w:rPr>
                <w:rFonts w:hint="eastAsia"/>
              </w:rPr>
              <w:t>判決</w:t>
            </w:r>
          </w:p>
        </w:tc>
      </w:tr>
      <w:tr w:rsidR="00392BBC" w14:paraId="6AF9DB4E" w14:textId="77777777" w:rsidTr="00166E04">
        <w:tc>
          <w:tcPr>
            <w:tcW w:w="2263" w:type="dxa"/>
          </w:tcPr>
          <w:p w14:paraId="2CFF5279" w14:textId="5B39E28D" w:rsidR="00392BBC" w:rsidRDefault="00392BBC">
            <w:r>
              <w:rPr>
                <w:rFonts w:hint="eastAsia"/>
              </w:rPr>
              <w:t>東海大学病院事件</w:t>
            </w:r>
          </w:p>
        </w:tc>
        <w:tc>
          <w:tcPr>
            <w:tcW w:w="3828" w:type="dxa"/>
          </w:tcPr>
          <w:p w14:paraId="5A0BBE14" w14:textId="6024E504" w:rsidR="00F06D24" w:rsidRDefault="00392BBC" w:rsidP="00844E7C">
            <w:pPr>
              <w:ind w:firstLineChars="100" w:firstLine="210"/>
            </w:pPr>
            <w:r>
              <w:rPr>
                <w:rFonts w:hint="eastAsia"/>
              </w:rPr>
              <w:t>多発性骨髄腫で昏睡状態の患者に対して、</w:t>
            </w:r>
            <w:r w:rsidR="00C65C51">
              <w:rPr>
                <w:rFonts w:hint="eastAsia"/>
              </w:rPr>
              <w:t>担当医師の助手は、点滴を外すなど、治療を中止した。さらに、</w:t>
            </w:r>
            <w:r w:rsidR="001871DC">
              <w:rPr>
                <w:rFonts w:hint="eastAsia"/>
              </w:rPr>
              <w:t>苦しみつづける患者に塩化カリウムを投与し、死に至らしめた。これに対して、治療の中止に関しては不起訴処分となったが、塩化カリウムの投与は、刑法</w:t>
            </w:r>
            <w:r w:rsidR="00A31521">
              <w:rPr>
                <w:rFonts w:hint="eastAsia"/>
              </w:rPr>
              <w:t>第199</w:t>
            </w:r>
            <w:r w:rsidR="002C7A05">
              <w:rPr>
                <w:rFonts w:hint="eastAsia"/>
              </w:rPr>
              <w:t>条の殺人罪にあたるとして起訴された。</w:t>
            </w:r>
          </w:p>
        </w:tc>
        <w:tc>
          <w:tcPr>
            <w:tcW w:w="2403" w:type="dxa"/>
          </w:tcPr>
          <w:p w14:paraId="0F87E21B" w14:textId="56E6EECA" w:rsidR="00FE1A25" w:rsidRDefault="00FE1A25">
            <w:r>
              <w:rPr>
                <w:rFonts w:hint="eastAsia"/>
              </w:rPr>
              <w:t>懲役２年執行猶予2年</w:t>
            </w:r>
          </w:p>
        </w:tc>
      </w:tr>
      <w:tr w:rsidR="00392BBC" w14:paraId="43983326" w14:textId="77777777" w:rsidTr="00166E04">
        <w:tc>
          <w:tcPr>
            <w:tcW w:w="2263" w:type="dxa"/>
          </w:tcPr>
          <w:p w14:paraId="0E5F33B4" w14:textId="18B2A685" w:rsidR="00392BBC" w:rsidRDefault="0026209E">
            <w:r>
              <w:rPr>
                <w:rFonts w:hint="eastAsia"/>
              </w:rPr>
              <w:lastRenderedPageBreak/>
              <w:t>富山県射水市民病院事件</w:t>
            </w:r>
          </w:p>
        </w:tc>
        <w:tc>
          <w:tcPr>
            <w:tcW w:w="3828" w:type="dxa"/>
          </w:tcPr>
          <w:p w14:paraId="0E402185" w14:textId="63BFB5E9" w:rsidR="00254241" w:rsidRDefault="00E33130">
            <w:r>
              <w:rPr>
                <w:rFonts w:hint="eastAsia"/>
              </w:rPr>
              <w:t xml:space="preserve">　</w:t>
            </w:r>
            <w:r w:rsidR="00A31521">
              <w:rPr>
                <w:rFonts w:hint="eastAsia"/>
              </w:rPr>
              <w:t>2000</w:t>
            </w:r>
            <w:r>
              <w:rPr>
                <w:rFonts w:hint="eastAsia"/>
              </w:rPr>
              <w:t>年から</w:t>
            </w:r>
            <w:r w:rsidR="00A31521">
              <w:rPr>
                <w:rFonts w:hint="eastAsia"/>
              </w:rPr>
              <w:t>2005</w:t>
            </w:r>
            <w:r>
              <w:rPr>
                <w:rFonts w:hint="eastAsia"/>
              </w:rPr>
              <w:t>年にかけて、</w:t>
            </w:r>
            <w:r w:rsidR="00AE327C">
              <w:rPr>
                <w:rFonts w:hint="eastAsia"/>
              </w:rPr>
              <w:t>回復の見込み</w:t>
            </w:r>
            <w:r w:rsidR="00254241">
              <w:rPr>
                <w:rFonts w:hint="eastAsia"/>
              </w:rPr>
              <w:t>の</w:t>
            </w:r>
            <w:r w:rsidR="00AE327C">
              <w:rPr>
                <w:rFonts w:hint="eastAsia"/>
              </w:rPr>
              <w:t>ない</w:t>
            </w:r>
            <w:r>
              <w:rPr>
                <w:rFonts w:hint="eastAsia"/>
              </w:rPr>
              <w:t>７人の患者が</w:t>
            </w:r>
            <w:r w:rsidR="00254241">
              <w:rPr>
                <w:rFonts w:hint="eastAsia"/>
              </w:rPr>
              <w:t>、</w:t>
            </w:r>
            <w:r>
              <w:rPr>
                <w:rFonts w:hint="eastAsia"/>
              </w:rPr>
              <w:t>医師の手によって人工呼吸器を外され</w:t>
            </w:r>
            <w:r w:rsidR="00254241">
              <w:rPr>
                <w:rFonts w:hint="eastAsia"/>
              </w:rPr>
              <w:t>死亡した。7人の患者のうち、１人は本人の同意が得られており、６人は家族の同意のみが得られていた。</w:t>
            </w:r>
          </w:p>
          <w:p w14:paraId="754F374F" w14:textId="7302C275" w:rsidR="00392BBC" w:rsidRDefault="00254241">
            <w:r>
              <w:rPr>
                <w:rFonts w:hint="eastAsia"/>
              </w:rPr>
              <w:t xml:space="preserve">　この行為にかかわった医師２人が</w:t>
            </w:r>
            <w:r w:rsidR="0026209E">
              <w:rPr>
                <w:rFonts w:hint="eastAsia"/>
              </w:rPr>
              <w:t>逮捕されたが、行為そのものと患者の死亡との因果関係が明白でなかったため、不起訴処分となった。</w:t>
            </w:r>
          </w:p>
        </w:tc>
        <w:tc>
          <w:tcPr>
            <w:tcW w:w="2403" w:type="dxa"/>
          </w:tcPr>
          <w:p w14:paraId="7B09D75E" w14:textId="021B0A4A" w:rsidR="00392BBC" w:rsidRDefault="00254241">
            <w:r>
              <w:rPr>
                <w:rFonts w:hint="eastAsia"/>
              </w:rPr>
              <w:t>不起訴</w:t>
            </w:r>
          </w:p>
        </w:tc>
      </w:tr>
    </w:tbl>
    <w:p w14:paraId="7E8217DE" w14:textId="13531D48" w:rsidR="00645D30" w:rsidRDefault="0026209E">
      <w:r>
        <w:rPr>
          <w:rFonts w:hint="eastAsia"/>
        </w:rPr>
        <w:t xml:space="preserve">　</w:t>
      </w:r>
    </w:p>
    <w:p w14:paraId="7697037B" w14:textId="3A7AAC35" w:rsidR="00844E7C" w:rsidRPr="00A31521" w:rsidRDefault="00A31521">
      <w:pPr>
        <w:rPr>
          <w:b/>
        </w:rPr>
      </w:pPr>
      <w:r w:rsidRPr="00A31521">
        <w:rPr>
          <w:rFonts w:hint="eastAsia"/>
          <w:b/>
        </w:rPr>
        <w:t>ガイドラインの策定</w:t>
      </w:r>
    </w:p>
    <w:p w14:paraId="0835FFC1" w14:textId="1C773CB4" w:rsidR="003B68D1" w:rsidRDefault="00F06D24" w:rsidP="00A31521">
      <w:pPr>
        <w:ind w:firstLineChars="100" w:firstLine="210"/>
      </w:pPr>
      <w:r>
        <w:rPr>
          <w:rFonts w:hint="eastAsia"/>
        </w:rPr>
        <w:t>射水市民病院事件を契機として</w:t>
      </w:r>
      <w:r w:rsidR="00844E7C">
        <w:rPr>
          <w:rFonts w:hint="eastAsia"/>
        </w:rPr>
        <w:t>、厚生労働省を中心に、終末期医療の中止を認めるためのガイドラインの策定が</w:t>
      </w:r>
      <w:r w:rsidR="00A31521">
        <w:rPr>
          <w:rFonts w:hint="eastAsia"/>
        </w:rPr>
        <w:t>進められ、2007年に「終末期医療の決定のプロセスに関するガイドライン」が公表された。</w:t>
      </w:r>
      <w:r w:rsidR="00E156DB">
        <w:rPr>
          <w:rFonts w:hint="eastAsia"/>
        </w:rPr>
        <w:t>ここでは、終末期医療とケアのあり方について、専門的な医学的検討を踏まえたインフォームド・コンセントにもとづく患者の意思決定を基本として、他専門職種の医療従事者から構成される医療・ケアチームによって、医療行為の開始・不開始</w:t>
      </w:r>
      <w:r w:rsidR="00921BDD">
        <w:rPr>
          <w:rFonts w:hint="eastAsia"/>
        </w:rPr>
        <w:t>、医療内容の変更、医療行為の中止等を判断すべきとしている。</w:t>
      </w:r>
    </w:p>
    <w:p w14:paraId="256089E1" w14:textId="301746B4" w:rsidR="00921BDD" w:rsidRDefault="00921BDD" w:rsidP="00A31521">
      <w:pPr>
        <w:ind w:firstLineChars="100" w:firstLine="210"/>
      </w:pPr>
    </w:p>
    <w:p w14:paraId="0800364B" w14:textId="263161B7" w:rsidR="00921BDD" w:rsidRPr="00166E04" w:rsidRDefault="00921BDD" w:rsidP="00921BDD">
      <w:pPr>
        <w:rPr>
          <w:b/>
        </w:rPr>
      </w:pPr>
      <w:r w:rsidRPr="00166E04">
        <w:rPr>
          <w:rFonts w:hint="eastAsia"/>
          <w:b/>
        </w:rPr>
        <w:t>有用な点</w:t>
      </w:r>
    </w:p>
    <w:p w14:paraId="66CD85EC" w14:textId="3FB1F205" w:rsidR="00166E04" w:rsidRDefault="00166E04" w:rsidP="006B3F6F">
      <w:pPr>
        <w:ind w:left="210" w:hangingChars="100" w:hanging="210"/>
      </w:pPr>
      <w:r>
        <w:rPr>
          <w:rFonts w:hint="eastAsia"/>
        </w:rPr>
        <w:t>・患者の意思が不明の場合、</w:t>
      </w:r>
      <w:r w:rsidR="006B3F6F">
        <w:rPr>
          <w:rFonts w:hint="eastAsia"/>
        </w:rPr>
        <w:t>医師と家族との十分な話し合いのもとで治療方針を決定することが明記された。</w:t>
      </w:r>
    </w:p>
    <w:p w14:paraId="289E92CB" w14:textId="0EC47D10" w:rsidR="006B3F6F" w:rsidRDefault="006B3F6F" w:rsidP="006B3F6F">
      <w:pPr>
        <w:ind w:left="210" w:hangingChars="100" w:hanging="210"/>
      </w:pPr>
      <w:r>
        <w:rPr>
          <w:rFonts w:hint="eastAsia"/>
        </w:rPr>
        <w:t>・治療方針の決定が困難な場合、複数の専門家による委員会を設置して検討と助言を行う。</w:t>
      </w:r>
    </w:p>
    <w:p w14:paraId="22FE7720" w14:textId="172CD5D4" w:rsidR="001C05EE" w:rsidRDefault="001C05EE" w:rsidP="006B3F6F">
      <w:pPr>
        <w:ind w:left="210" w:hangingChars="100" w:hanging="210"/>
      </w:pPr>
    </w:p>
    <w:p w14:paraId="69D95A18" w14:textId="77777777" w:rsidR="006C3973" w:rsidRDefault="001C05EE" w:rsidP="006C3973">
      <w:pPr>
        <w:ind w:left="206" w:hangingChars="100" w:hanging="206"/>
        <w:rPr>
          <w:b/>
        </w:rPr>
      </w:pPr>
      <w:r w:rsidRPr="001C05EE">
        <w:rPr>
          <w:rFonts w:hint="eastAsia"/>
          <w:b/>
        </w:rPr>
        <w:t>限界点</w:t>
      </w:r>
    </w:p>
    <w:p w14:paraId="1E0F665C" w14:textId="77777777" w:rsidR="006C3973" w:rsidRDefault="001C05EE" w:rsidP="006C3973">
      <w:pPr>
        <w:ind w:leftChars="100" w:left="210"/>
      </w:pPr>
      <w:r>
        <w:rPr>
          <w:rFonts w:hint="eastAsia"/>
        </w:rPr>
        <w:t>ガイドラインには法的拘束力がなく、これに従って医療行為の中止をした場合に</w:t>
      </w:r>
      <w:r w:rsidR="001C7481">
        <w:rPr>
          <w:rFonts w:hint="eastAsia"/>
        </w:rPr>
        <w:t>違法性</w:t>
      </w:r>
    </w:p>
    <w:p w14:paraId="3585D88D" w14:textId="52623EC8" w:rsidR="001C7481" w:rsidRPr="006C3973" w:rsidRDefault="001C7481" w:rsidP="006C3973">
      <w:pPr>
        <w:rPr>
          <w:b/>
        </w:rPr>
      </w:pPr>
      <w:r>
        <w:rPr>
          <w:rFonts w:hint="eastAsia"/>
        </w:rPr>
        <w:t>が問われないのかどうか明記されていない。このため医療従事者</w:t>
      </w:r>
      <w:r w:rsidR="009F0BFF">
        <w:rPr>
          <w:rFonts w:hint="eastAsia"/>
        </w:rPr>
        <w:t>に</w:t>
      </w:r>
      <w:r>
        <w:rPr>
          <w:rFonts w:hint="eastAsia"/>
        </w:rPr>
        <w:t>は、「刑事責任を取らさ</w:t>
      </w:r>
    </w:p>
    <w:p w14:paraId="34F0E455" w14:textId="421591A7" w:rsidR="00782A40" w:rsidRPr="00782A40" w:rsidRDefault="009F0BFF" w:rsidP="006C3973">
      <w:pPr>
        <w:ind w:left="210" w:hangingChars="100" w:hanging="210"/>
      </w:pPr>
      <w:r>
        <w:rPr>
          <w:rFonts w:hint="eastAsia"/>
        </w:rPr>
        <w:t>れ</w:t>
      </w:r>
      <w:r w:rsidR="001C7481">
        <w:rPr>
          <w:rFonts w:hint="eastAsia"/>
        </w:rPr>
        <w:t>るのではないか」</w:t>
      </w:r>
      <w:r>
        <w:rPr>
          <w:rFonts w:hint="eastAsia"/>
        </w:rPr>
        <w:t>という不安が</w:t>
      </w:r>
      <w:r w:rsidR="00E46D95">
        <w:rPr>
          <w:rFonts w:hint="eastAsia"/>
        </w:rPr>
        <w:t>残る</w:t>
      </w:r>
      <w:r>
        <w:rPr>
          <w:rFonts w:hint="eastAsia"/>
        </w:rPr>
        <w:t>。</w:t>
      </w:r>
    </w:p>
    <w:p w14:paraId="40A0D392" w14:textId="77777777" w:rsidR="009F0BFF" w:rsidRDefault="009F0BFF" w:rsidP="006B3F6F">
      <w:pPr>
        <w:ind w:left="210" w:hangingChars="100" w:hanging="210"/>
      </w:pPr>
    </w:p>
    <w:p w14:paraId="113FCB2E" w14:textId="73641659" w:rsidR="00434CA8" w:rsidRPr="001C05EE" w:rsidRDefault="00434CA8" w:rsidP="00434CA8">
      <w:pPr>
        <w:ind w:left="235" w:hangingChars="100" w:hanging="235"/>
        <w:rPr>
          <w:b/>
          <w:sz w:val="24"/>
          <w:szCs w:val="24"/>
        </w:rPr>
      </w:pPr>
      <w:r w:rsidRPr="001C05EE">
        <w:rPr>
          <w:rFonts w:hint="eastAsia"/>
          <w:b/>
          <w:sz w:val="24"/>
          <w:szCs w:val="24"/>
        </w:rPr>
        <w:t>尊厳死法案</w:t>
      </w:r>
    </w:p>
    <w:p w14:paraId="40E4CAFA" w14:textId="0BA06F68" w:rsidR="00434CA8" w:rsidRDefault="009F0BFF" w:rsidP="006C3973">
      <w:r>
        <w:rPr>
          <w:rFonts w:hint="eastAsia"/>
          <w:b/>
        </w:rPr>
        <w:t xml:space="preserve">　</w:t>
      </w:r>
      <w:r>
        <w:rPr>
          <w:rFonts w:hint="eastAsia"/>
        </w:rPr>
        <w:t>尊厳死法案は、</w:t>
      </w:r>
      <w:r w:rsidR="00782A40">
        <w:rPr>
          <w:rFonts w:hint="eastAsia"/>
        </w:rPr>
        <w:t>「終末期に</w:t>
      </w:r>
      <w:r w:rsidR="006C3973">
        <w:rPr>
          <w:rFonts w:hint="eastAsia"/>
        </w:rPr>
        <w:t>係る判定、患者の意思に基づく延命措置の不開始及びこれに係る免責等に関し必要な事項を定める</w:t>
      </w:r>
      <w:r w:rsidR="00782A40">
        <w:rPr>
          <w:rFonts w:hint="eastAsia"/>
        </w:rPr>
        <w:t>」</w:t>
      </w:r>
      <w:r w:rsidR="006C3973">
        <w:rPr>
          <w:rFonts w:hint="eastAsia"/>
        </w:rPr>
        <w:t>ことを目的として2012年に提案された。</w:t>
      </w:r>
    </w:p>
    <w:p w14:paraId="4C6D0F60" w14:textId="2D3411C9" w:rsidR="006C3973" w:rsidRPr="008414DF" w:rsidRDefault="008414DF" w:rsidP="006B3F6F">
      <w:pPr>
        <w:ind w:left="206" w:hangingChars="100" w:hanging="206"/>
        <w:rPr>
          <w:b/>
        </w:rPr>
      </w:pPr>
      <w:r w:rsidRPr="008414DF">
        <w:rPr>
          <w:rFonts w:hint="eastAsia"/>
          <w:b/>
        </w:rPr>
        <w:t>内容</w:t>
      </w:r>
    </w:p>
    <w:p w14:paraId="25F660D8" w14:textId="512E897C" w:rsidR="008414DF" w:rsidRDefault="008414DF" w:rsidP="0098068C">
      <w:pPr>
        <w:ind w:left="1890" w:hangingChars="900" w:hanging="1890"/>
      </w:pPr>
      <w:r>
        <w:rPr>
          <w:rFonts w:hint="eastAsia"/>
        </w:rPr>
        <w:t>5条・</w:t>
      </w:r>
      <w:r w:rsidR="0098068C">
        <w:rPr>
          <w:rFonts w:hint="eastAsia"/>
        </w:rPr>
        <w:t xml:space="preserve">終末期の定義　</w:t>
      </w:r>
      <w:r>
        <w:rPr>
          <w:rFonts w:hint="eastAsia"/>
        </w:rPr>
        <w:t>患者が、適切な治療を</w:t>
      </w:r>
      <w:r w:rsidR="0098068C">
        <w:rPr>
          <w:rFonts w:hint="eastAsia"/>
        </w:rPr>
        <w:t>受けても回復の可能性がなく、かつ、死期が間近と判定された状態にある期間</w:t>
      </w:r>
    </w:p>
    <w:p w14:paraId="1DE90F3E" w14:textId="2A6AABA0" w:rsidR="009F0BFF" w:rsidRDefault="0098068C" w:rsidP="0098068C">
      <w:pPr>
        <w:ind w:left="3360" w:hangingChars="1600" w:hanging="3360"/>
      </w:pPr>
      <w:r>
        <w:rPr>
          <w:rFonts w:hint="eastAsia"/>
        </w:rPr>
        <w:lastRenderedPageBreak/>
        <w:t>７</w:t>
      </w:r>
      <w:r w:rsidR="006C3973" w:rsidRPr="006C3973">
        <w:rPr>
          <w:rFonts w:hint="eastAsia"/>
        </w:rPr>
        <w:t>条</w:t>
      </w:r>
      <w:r w:rsidR="006C3973">
        <w:rPr>
          <w:rFonts w:hint="eastAsia"/>
        </w:rPr>
        <w:t>・</w:t>
      </w:r>
      <w:r>
        <w:rPr>
          <w:rFonts w:hint="eastAsia"/>
        </w:rPr>
        <w:t xml:space="preserve">生命維持治療の不開始・中止　</w:t>
      </w:r>
      <w:r w:rsidR="006C3973">
        <w:rPr>
          <w:rFonts w:hint="eastAsia"/>
        </w:rPr>
        <w:t>医師は、患者の書面等による</w:t>
      </w:r>
      <w:r>
        <w:rPr>
          <w:rFonts w:hint="eastAsia"/>
        </w:rPr>
        <w:t>希望、終末期判定により、生命維持治療を不開始または中止することができる。</w:t>
      </w:r>
    </w:p>
    <w:p w14:paraId="5946D4C4" w14:textId="5E91D4D0" w:rsidR="0098068C" w:rsidRDefault="0098068C" w:rsidP="0098068C">
      <w:pPr>
        <w:ind w:left="3360" w:hangingChars="1600" w:hanging="3360"/>
      </w:pPr>
      <w:r>
        <w:rPr>
          <w:rFonts w:hint="eastAsia"/>
        </w:rPr>
        <w:t>9条・医師の免責　第7条に従い、生命維持治療を</w:t>
      </w:r>
      <w:r w:rsidR="002B3E9D">
        <w:rPr>
          <w:rFonts w:hint="eastAsia"/>
        </w:rPr>
        <w:t>不開始・中止した医師の免責を規定</w:t>
      </w:r>
    </w:p>
    <w:p w14:paraId="1B9E0FEC" w14:textId="1075F0BF" w:rsidR="002B3E9D" w:rsidRDefault="002B3E9D" w:rsidP="0098068C">
      <w:pPr>
        <w:ind w:left="3360" w:hangingChars="1600" w:hanging="3360"/>
      </w:pPr>
    </w:p>
    <w:p w14:paraId="17A1802B" w14:textId="6739F696" w:rsidR="002B3E9D" w:rsidRPr="002B3E9D" w:rsidRDefault="002B3E9D" w:rsidP="0098068C">
      <w:pPr>
        <w:ind w:left="3296" w:hangingChars="1600" w:hanging="3296"/>
        <w:rPr>
          <w:b/>
        </w:rPr>
      </w:pPr>
      <w:r w:rsidRPr="002B3E9D">
        <w:rPr>
          <w:rFonts w:hint="eastAsia"/>
          <w:b/>
        </w:rPr>
        <w:t>尊厳死法案に対する批判</w:t>
      </w:r>
    </w:p>
    <w:p w14:paraId="35B5D8D8" w14:textId="6565F09F" w:rsidR="002B3E9D" w:rsidRDefault="002B3E9D" w:rsidP="002B3E9D">
      <w:pPr>
        <w:ind w:left="3360" w:hangingChars="1600" w:hanging="3360"/>
      </w:pPr>
      <w:r>
        <w:rPr>
          <w:rFonts w:hint="eastAsia"/>
        </w:rPr>
        <w:t>・終末期の定義があいまい</w:t>
      </w:r>
    </w:p>
    <w:p w14:paraId="12CCF2CF" w14:textId="282FE0F7" w:rsidR="002B3E9D" w:rsidRDefault="002B3E9D" w:rsidP="002B3E9D">
      <w:pPr>
        <w:ind w:left="3360" w:hangingChars="1600" w:hanging="3360"/>
      </w:pPr>
      <w:r>
        <w:rPr>
          <w:rFonts w:hint="eastAsia"/>
        </w:rPr>
        <w:t>・患者の家族に関する規定が不明確</w:t>
      </w:r>
    </w:p>
    <w:p w14:paraId="4FD63BC5" w14:textId="6E1C9CDA" w:rsidR="002B3E9D" w:rsidRDefault="002B3E9D" w:rsidP="002B3E9D">
      <w:pPr>
        <w:ind w:left="3360" w:hangingChars="1600" w:hanging="3360"/>
      </w:pPr>
      <w:r>
        <w:rPr>
          <w:rFonts w:hint="eastAsia"/>
        </w:rPr>
        <w:t>・法律によって人の死を拘束すべきではない</w:t>
      </w:r>
    </w:p>
    <w:p w14:paraId="7403D180" w14:textId="2FBB777B" w:rsidR="002B3E9D" w:rsidRPr="002B3E9D" w:rsidRDefault="002B3E9D" w:rsidP="002B3E9D"/>
    <w:sectPr w:rsidR="002B3E9D" w:rsidRPr="002B3E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94E80" w14:textId="77777777" w:rsidR="00B47BDC" w:rsidRDefault="00B47BDC" w:rsidP="000975B4">
      <w:r>
        <w:separator/>
      </w:r>
    </w:p>
  </w:endnote>
  <w:endnote w:type="continuationSeparator" w:id="0">
    <w:p w14:paraId="00669500" w14:textId="77777777" w:rsidR="00B47BDC" w:rsidRDefault="00B47BDC" w:rsidP="0009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D59A" w14:textId="77777777" w:rsidR="00B47BDC" w:rsidRDefault="00B47BDC" w:rsidP="000975B4">
      <w:r>
        <w:separator/>
      </w:r>
    </w:p>
  </w:footnote>
  <w:footnote w:type="continuationSeparator" w:id="0">
    <w:p w14:paraId="3BD1CFA2" w14:textId="77777777" w:rsidR="00B47BDC" w:rsidRDefault="00B47BDC" w:rsidP="00097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82"/>
    <w:rsid w:val="00003DB4"/>
    <w:rsid w:val="00061D00"/>
    <w:rsid w:val="000975B4"/>
    <w:rsid w:val="000A2224"/>
    <w:rsid w:val="000A6299"/>
    <w:rsid w:val="000F6118"/>
    <w:rsid w:val="0013743F"/>
    <w:rsid w:val="00166E04"/>
    <w:rsid w:val="00174D07"/>
    <w:rsid w:val="001871DC"/>
    <w:rsid w:val="001C05EE"/>
    <w:rsid w:val="001C7481"/>
    <w:rsid w:val="00254241"/>
    <w:rsid w:val="0026209E"/>
    <w:rsid w:val="00273DBD"/>
    <w:rsid w:val="00297271"/>
    <w:rsid w:val="002B35EA"/>
    <w:rsid w:val="002B3E9D"/>
    <w:rsid w:val="002C7A05"/>
    <w:rsid w:val="00392BBC"/>
    <w:rsid w:val="003B68D1"/>
    <w:rsid w:val="00434CA8"/>
    <w:rsid w:val="004718AB"/>
    <w:rsid w:val="00480020"/>
    <w:rsid w:val="004A7833"/>
    <w:rsid w:val="004C3666"/>
    <w:rsid w:val="004C4C9F"/>
    <w:rsid w:val="005241E4"/>
    <w:rsid w:val="005A6329"/>
    <w:rsid w:val="00645D30"/>
    <w:rsid w:val="00645DBD"/>
    <w:rsid w:val="006B3F6F"/>
    <w:rsid w:val="006C3973"/>
    <w:rsid w:val="006F32C1"/>
    <w:rsid w:val="006F41C5"/>
    <w:rsid w:val="0077251F"/>
    <w:rsid w:val="00782A40"/>
    <w:rsid w:val="007F0486"/>
    <w:rsid w:val="008414DF"/>
    <w:rsid w:val="00844E7C"/>
    <w:rsid w:val="00891A77"/>
    <w:rsid w:val="008E57CE"/>
    <w:rsid w:val="00921BDD"/>
    <w:rsid w:val="0098068C"/>
    <w:rsid w:val="009C2FDF"/>
    <w:rsid w:val="009F0BFF"/>
    <w:rsid w:val="00A04F3F"/>
    <w:rsid w:val="00A130A5"/>
    <w:rsid w:val="00A31521"/>
    <w:rsid w:val="00AD1E2F"/>
    <w:rsid w:val="00AE327C"/>
    <w:rsid w:val="00AF716D"/>
    <w:rsid w:val="00B47BDC"/>
    <w:rsid w:val="00B74986"/>
    <w:rsid w:val="00C65C51"/>
    <w:rsid w:val="00CA7F82"/>
    <w:rsid w:val="00D33FB2"/>
    <w:rsid w:val="00D36156"/>
    <w:rsid w:val="00DA7DF9"/>
    <w:rsid w:val="00E156DB"/>
    <w:rsid w:val="00E33130"/>
    <w:rsid w:val="00E46D95"/>
    <w:rsid w:val="00F06D24"/>
    <w:rsid w:val="00F36709"/>
    <w:rsid w:val="00FA1A03"/>
    <w:rsid w:val="00FC623B"/>
    <w:rsid w:val="00FE1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247F45"/>
  <w15:chartTrackingRefBased/>
  <w15:docId w15:val="{273B834B-BFC5-45BE-91ED-BA761197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5B4"/>
    <w:pPr>
      <w:tabs>
        <w:tab w:val="center" w:pos="4252"/>
        <w:tab w:val="right" w:pos="8504"/>
      </w:tabs>
      <w:snapToGrid w:val="0"/>
    </w:pPr>
  </w:style>
  <w:style w:type="character" w:customStyle="1" w:styleId="a4">
    <w:name w:val="ヘッダー (文字)"/>
    <w:basedOn w:val="a0"/>
    <w:link w:val="a3"/>
    <w:uiPriority w:val="99"/>
    <w:rsid w:val="000975B4"/>
  </w:style>
  <w:style w:type="paragraph" w:styleId="a5">
    <w:name w:val="footer"/>
    <w:basedOn w:val="a"/>
    <w:link w:val="a6"/>
    <w:uiPriority w:val="99"/>
    <w:unhideWhenUsed/>
    <w:rsid w:val="000975B4"/>
    <w:pPr>
      <w:tabs>
        <w:tab w:val="center" w:pos="4252"/>
        <w:tab w:val="right" w:pos="8504"/>
      </w:tabs>
      <w:snapToGrid w:val="0"/>
    </w:pPr>
  </w:style>
  <w:style w:type="character" w:customStyle="1" w:styleId="a6">
    <w:name w:val="フッター (文字)"/>
    <w:basedOn w:val="a0"/>
    <w:link w:val="a5"/>
    <w:uiPriority w:val="99"/>
    <w:rsid w:val="000975B4"/>
  </w:style>
  <w:style w:type="table" w:styleId="a7">
    <w:name w:val="Table Grid"/>
    <w:basedOn w:val="a1"/>
    <w:uiPriority w:val="39"/>
    <w:rsid w:val="00645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山田貴史</dc:creator>
  <cp:keywords/>
  <dc:description/>
  <cp:lastModifiedBy>山田貴史</cp:lastModifiedBy>
  <cp:revision>2</cp:revision>
  <dcterms:created xsi:type="dcterms:W3CDTF">2016-08-29T15:04:00Z</dcterms:created>
  <dcterms:modified xsi:type="dcterms:W3CDTF">2016-08-29T15:04:00Z</dcterms:modified>
</cp:coreProperties>
</file>