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CBF" w:rsidRPr="00296D85" w:rsidRDefault="00296D85">
      <w:pPr>
        <w:rPr>
          <w:rFonts w:asciiTheme="majorHAnsi" w:eastAsiaTheme="majorEastAsia" w:hAnsiTheme="majorHAnsi" w:cstheme="majorHAnsi"/>
          <w:b/>
          <w:sz w:val="24"/>
          <w:szCs w:val="24"/>
        </w:rPr>
      </w:pPr>
      <w:r w:rsidRPr="00296D85">
        <w:rPr>
          <w:rFonts w:asciiTheme="majorHAnsi" w:eastAsiaTheme="majorEastAsia" w:hAnsiTheme="majorHAnsi" w:cstheme="majorHAnsi"/>
          <w:b/>
          <w:sz w:val="24"/>
          <w:szCs w:val="24"/>
        </w:rPr>
        <w:t>【ケース</w:t>
      </w:r>
      <w:r w:rsidRPr="00296D85">
        <w:rPr>
          <w:rFonts w:asciiTheme="majorHAnsi" w:eastAsiaTheme="majorEastAsia" w:hAnsiTheme="majorHAnsi" w:cstheme="majorHAnsi"/>
          <w:b/>
          <w:sz w:val="24"/>
          <w:szCs w:val="24"/>
        </w:rPr>
        <w:t>2</w:t>
      </w:r>
      <w:r w:rsidRPr="00296D85">
        <w:rPr>
          <w:rFonts w:asciiTheme="majorHAnsi" w:eastAsiaTheme="majorEastAsia" w:hAnsiTheme="majorHAnsi" w:cstheme="majorHAnsi"/>
          <w:b/>
          <w:sz w:val="24"/>
          <w:szCs w:val="24"/>
        </w:rPr>
        <w:t>】アメリカ・ハワイ州カウアイ島</w:t>
      </w:r>
    </w:p>
    <w:p w:rsidR="00296D85" w:rsidRDefault="00296D85" w:rsidP="00296D85">
      <w:pPr>
        <w:pStyle w:val="a3"/>
        <w:numPr>
          <w:ilvl w:val="0"/>
          <w:numId w:val="1"/>
        </w:numPr>
        <w:ind w:leftChars="0"/>
        <w:rPr>
          <w:rFonts w:hint="eastAsia"/>
        </w:rPr>
      </w:pPr>
      <w:r>
        <w:rPr>
          <w:rFonts w:hint="eastAsia"/>
        </w:rPr>
        <w:t>人口：</w:t>
      </w:r>
      <w:r>
        <w:rPr>
          <w:rFonts w:hint="eastAsia"/>
        </w:rPr>
        <w:t>64,529</w:t>
      </w:r>
      <w:r>
        <w:rPr>
          <w:rFonts w:hint="eastAsia"/>
        </w:rPr>
        <w:t>人／</w:t>
      </w:r>
      <w:r>
        <w:rPr>
          <w:rFonts w:hint="eastAsia"/>
        </w:rPr>
        <w:t>20,183</w:t>
      </w:r>
      <w:r>
        <w:rPr>
          <w:rFonts w:hint="eastAsia"/>
        </w:rPr>
        <w:t>世帯（</w:t>
      </w:r>
      <w:r>
        <w:rPr>
          <w:rFonts w:hint="eastAsia"/>
        </w:rPr>
        <w:t>2009</w:t>
      </w:r>
      <w:r>
        <w:rPr>
          <w:rFonts w:hint="eastAsia"/>
        </w:rPr>
        <w:t>年推計）</w:t>
      </w:r>
      <w:r>
        <w:rPr>
          <w:rFonts w:hint="eastAsia"/>
        </w:rPr>
        <w:t>[1]</w:t>
      </w:r>
    </w:p>
    <w:p w:rsidR="00296D85" w:rsidRDefault="00296D85" w:rsidP="00296D85">
      <w:pPr>
        <w:pStyle w:val="a3"/>
        <w:numPr>
          <w:ilvl w:val="0"/>
          <w:numId w:val="1"/>
        </w:numPr>
        <w:ind w:leftChars="0"/>
        <w:rPr>
          <w:rFonts w:hint="eastAsia"/>
        </w:rPr>
      </w:pPr>
      <w:r>
        <w:rPr>
          <w:rFonts w:hint="eastAsia"/>
        </w:rPr>
        <w:t>面積：</w:t>
      </w:r>
      <w:r>
        <w:rPr>
          <w:rFonts w:hint="eastAsia"/>
        </w:rPr>
        <w:t>1,403.4</w:t>
      </w:r>
      <w:r>
        <w:rPr>
          <w:rFonts w:hint="eastAsia"/>
        </w:rPr>
        <w:t>平方キロメートル</w:t>
      </w:r>
      <w:r>
        <w:rPr>
          <w:rFonts w:hint="eastAsia"/>
        </w:rPr>
        <w:t xml:space="preserve"> [1]</w:t>
      </w:r>
    </w:p>
    <w:p w:rsidR="00296D85" w:rsidRDefault="00296D85" w:rsidP="00296D85">
      <w:pPr>
        <w:pStyle w:val="a3"/>
        <w:numPr>
          <w:ilvl w:val="0"/>
          <w:numId w:val="1"/>
        </w:numPr>
        <w:ind w:leftChars="0"/>
        <w:rPr>
          <w:rFonts w:hint="eastAsia"/>
        </w:rPr>
      </w:pPr>
      <w:r>
        <w:rPr>
          <w:rFonts w:hint="eastAsia"/>
        </w:rPr>
        <w:t>人口密度：</w:t>
      </w:r>
      <w:r>
        <w:rPr>
          <w:rFonts w:hint="eastAsia"/>
        </w:rPr>
        <w:t>45.98</w:t>
      </w:r>
      <w:r>
        <w:rPr>
          <w:rFonts w:hint="eastAsia"/>
        </w:rPr>
        <w:t>人／平方キロメートル</w:t>
      </w:r>
    </w:p>
    <w:p w:rsidR="00A14629" w:rsidRDefault="00A14629" w:rsidP="00A14629">
      <w:pPr>
        <w:rPr>
          <w:rFonts w:hint="eastAsia"/>
        </w:rPr>
      </w:pPr>
      <w:bookmarkStart w:id="0" w:name="_GoBack"/>
      <w:bookmarkEnd w:id="0"/>
    </w:p>
    <w:p w:rsidR="00296D85" w:rsidRDefault="005457B4" w:rsidP="00296D85">
      <w:pPr>
        <w:pStyle w:val="a3"/>
        <w:numPr>
          <w:ilvl w:val="0"/>
          <w:numId w:val="1"/>
        </w:numPr>
        <w:ind w:leftChars="0"/>
        <w:rPr>
          <w:rFonts w:hint="eastAsia"/>
        </w:rPr>
      </w:pPr>
      <w:r>
        <w:rPr>
          <w:rFonts w:hint="eastAsia"/>
        </w:rPr>
        <w:t>主要産業：</w:t>
      </w:r>
    </w:p>
    <w:p w:rsidR="005457B4" w:rsidRPr="005457B4" w:rsidRDefault="005457B4" w:rsidP="005457B4">
      <w:pPr>
        <w:pStyle w:val="a3"/>
        <w:ind w:leftChars="171" w:left="359" w:firstLineChars="100" w:firstLine="210"/>
        <w:rPr>
          <w:rFonts w:hint="eastAsia"/>
        </w:rPr>
      </w:pPr>
      <w:r>
        <w:rPr>
          <w:rFonts w:hint="eastAsia"/>
        </w:rPr>
        <w:t>19</w:t>
      </w:r>
      <w:r>
        <w:rPr>
          <w:rFonts w:hint="eastAsia"/>
        </w:rPr>
        <w:t>世紀以降サトウキビの栽培が盛んになり，ハワイ地方のプランテーション農業の先駆けとなった．しかし近年ではサトウキビ栽培は衰退しており，農業の中心はタロイモの栽培に移っている．タロイモの生産量はハワイ州で</w:t>
      </w:r>
      <w:r>
        <w:rPr>
          <w:rFonts w:hint="eastAsia"/>
        </w:rPr>
        <w:t>1</w:t>
      </w:r>
      <w:r>
        <w:rPr>
          <w:rFonts w:hint="eastAsia"/>
        </w:rPr>
        <w:t>位である．現在では，自然の魅力を最大限に生かした観光業が島の経済を支えている．ビーチはもちろんのこと，渓谷や川など自然を満喫できる観光名所が多い</w:t>
      </w:r>
      <w:r>
        <w:rPr>
          <w:rFonts w:hint="eastAsia"/>
        </w:rPr>
        <w:t>[2]</w:t>
      </w:r>
      <w:r>
        <w:rPr>
          <w:rFonts w:hint="eastAsia"/>
        </w:rPr>
        <w:t>．自然資源に対する</w:t>
      </w:r>
      <w:r w:rsidR="00596652">
        <w:rPr>
          <w:rFonts w:hint="eastAsia"/>
        </w:rPr>
        <w:t>島民の思い入れは非常に強いものがあり，島の条例によりヤシの木より高い建物を建造することができないなど，島の景観を最優先にしている</w:t>
      </w:r>
      <w:r w:rsidR="00596652">
        <w:rPr>
          <w:rFonts w:hint="eastAsia"/>
        </w:rPr>
        <w:t>[3]</w:t>
      </w:r>
      <w:r w:rsidR="00596652">
        <w:rPr>
          <w:rFonts w:hint="eastAsia"/>
        </w:rPr>
        <w:t>．</w:t>
      </w:r>
    </w:p>
    <w:p w:rsidR="00A14629" w:rsidRDefault="00A14629" w:rsidP="00A14629">
      <w:pPr>
        <w:rPr>
          <w:rFonts w:hint="eastAsia"/>
        </w:rPr>
      </w:pPr>
    </w:p>
    <w:p w:rsidR="00296D85" w:rsidRDefault="00596652" w:rsidP="005457B4">
      <w:pPr>
        <w:pStyle w:val="a3"/>
        <w:numPr>
          <w:ilvl w:val="0"/>
          <w:numId w:val="1"/>
        </w:numPr>
        <w:ind w:leftChars="0"/>
        <w:rPr>
          <w:rFonts w:hint="eastAsia"/>
        </w:rPr>
      </w:pPr>
      <w:r>
        <w:rPr>
          <w:rFonts w:hint="eastAsia"/>
        </w:rPr>
        <w:t>エネルギー需給の状況</w:t>
      </w:r>
      <w:r w:rsidR="00A97A89">
        <w:rPr>
          <w:rFonts w:hint="eastAsia"/>
        </w:rPr>
        <w:t>[4]</w:t>
      </w:r>
      <w:r w:rsidR="00A97A89">
        <w:rPr>
          <w:rFonts w:hint="eastAsia"/>
        </w:rPr>
        <w:t>：</w:t>
      </w:r>
    </w:p>
    <w:p w:rsidR="00596652" w:rsidRDefault="00596652" w:rsidP="00596652">
      <w:pPr>
        <w:pStyle w:val="a3"/>
        <w:ind w:leftChars="0" w:left="360"/>
        <w:rPr>
          <w:rFonts w:hint="eastAsia"/>
        </w:rPr>
      </w:pPr>
      <w:r>
        <w:rPr>
          <w:rFonts w:hint="eastAsia"/>
        </w:rPr>
        <w:t xml:space="preserve">　</w:t>
      </w:r>
      <w:r w:rsidR="00244F17">
        <w:rPr>
          <w:rFonts w:hint="eastAsia"/>
        </w:rPr>
        <w:t>ハワイ州全体での</w:t>
      </w:r>
      <w:r w:rsidR="00A97A89">
        <w:rPr>
          <w:rFonts w:hint="eastAsia"/>
        </w:rPr>
        <w:t>一次エネルギーベースでのエネルギー消費量（</w:t>
      </w:r>
      <w:r w:rsidR="00A97A89">
        <w:rPr>
          <w:rFonts w:hint="eastAsia"/>
        </w:rPr>
        <w:t>2009</w:t>
      </w:r>
      <w:r w:rsidR="00A97A89">
        <w:rPr>
          <w:rFonts w:hint="eastAsia"/>
        </w:rPr>
        <w:t>年）は図</w:t>
      </w:r>
      <w:r w:rsidR="00A97A89">
        <w:rPr>
          <w:rFonts w:hint="eastAsia"/>
        </w:rPr>
        <w:t>1</w:t>
      </w:r>
      <w:r w:rsidR="00A97A89">
        <w:rPr>
          <w:rFonts w:hint="eastAsia"/>
        </w:rPr>
        <w:t>に示すとおりである．</w:t>
      </w:r>
    </w:p>
    <w:p w:rsidR="00A97A89" w:rsidRDefault="00A97A89" w:rsidP="00596652">
      <w:pPr>
        <w:pStyle w:val="a3"/>
        <w:ind w:leftChars="0" w:left="360"/>
        <w:rPr>
          <w:rFonts w:hint="eastAsia"/>
        </w:rPr>
      </w:pPr>
      <w:r>
        <w:rPr>
          <w:rFonts w:hint="eastAsia"/>
          <w:noProof/>
        </w:rPr>
        <mc:AlternateContent>
          <mc:Choice Requires="wps">
            <w:drawing>
              <wp:inline distT="0" distB="0" distL="0" distR="0">
                <wp:extent cx="5200650" cy="3048000"/>
                <wp:effectExtent l="0" t="0" r="0" b="0"/>
                <wp:docPr id="1" name="テキスト ボックス 1"/>
                <wp:cNvGraphicFramePr/>
                <a:graphic xmlns:a="http://schemas.openxmlformats.org/drawingml/2006/main">
                  <a:graphicData uri="http://schemas.microsoft.com/office/word/2010/wordprocessingShape">
                    <wps:wsp>
                      <wps:cNvSpPr txBox="1"/>
                      <wps:spPr>
                        <a:xfrm>
                          <a:off x="0" y="0"/>
                          <a:ext cx="5200650" cy="304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7A89" w:rsidRDefault="00A97A89" w:rsidP="00A97A89">
                            <w:pPr>
                              <w:jc w:val="center"/>
                              <w:rPr>
                                <w:rFonts w:hint="eastAsia"/>
                              </w:rPr>
                            </w:pPr>
                            <w:r>
                              <w:rPr>
                                <w:noProof/>
                              </w:rPr>
                              <w:drawing>
                                <wp:inline distT="0" distB="0" distL="0" distR="0" wp14:anchorId="3177B1B4" wp14:editId="57E90CBF">
                                  <wp:extent cx="4572000" cy="2743200"/>
                                  <wp:effectExtent l="0" t="0" r="0"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44F17" w:rsidRDefault="00244F17" w:rsidP="00A97A89">
                            <w:pPr>
                              <w:jc w:val="center"/>
                            </w:pPr>
                            <w:r>
                              <w:rPr>
                                <w:rFonts w:hint="eastAsia"/>
                              </w:rPr>
                              <w:t>図</w:t>
                            </w:r>
                            <w:r>
                              <w:rPr>
                                <w:rFonts w:hint="eastAsia"/>
                              </w:rPr>
                              <w:t>1</w:t>
                            </w:r>
                            <w:r>
                              <w:rPr>
                                <w:rFonts w:hint="eastAsia"/>
                              </w:rPr>
                              <w:t xml:space="preserve">　ハワイ州全体での一次エネルギー消費量</w:t>
                            </w:r>
                            <w:r>
                              <w:rPr>
                                <w:rFonts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 o:spid="_x0000_s1026" type="#_x0000_t202" style="width:409.5pt;height:2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" fillcolor="white [3201]" stroked="f" strokeweight=".5pt">
                <v:textbox>
                  <w:txbxContent>
                    <w:p w:rsidR="00A97A89" w:rsidRDefault="00A97A89" w:rsidP="00A97A89">
                      <w:pPr>
                        <w:jc w:val="center"/>
                        <w:rPr>
                          <w:rFonts w:hint="eastAsia"/>
                        </w:rPr>
                      </w:pPr>
                      <w:r>
                        <w:rPr>
                          <w:noProof/>
                        </w:rPr>
                        <w:drawing>
                          <wp:inline distT="0" distB="0" distL="0" distR="0" wp14:anchorId="3177B1B4" wp14:editId="57E90CBF">
                            <wp:extent cx="4572000" cy="2743200"/>
                            <wp:effectExtent l="0" t="0" r="0"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44F17" w:rsidRDefault="00244F17" w:rsidP="00A97A89">
                      <w:pPr>
                        <w:jc w:val="center"/>
                      </w:pPr>
                      <w:r>
                        <w:rPr>
                          <w:rFonts w:hint="eastAsia"/>
                        </w:rPr>
                        <w:t>図</w:t>
                      </w:r>
                      <w:r>
                        <w:rPr>
                          <w:rFonts w:hint="eastAsia"/>
                        </w:rPr>
                        <w:t>1</w:t>
                      </w:r>
                      <w:r>
                        <w:rPr>
                          <w:rFonts w:hint="eastAsia"/>
                        </w:rPr>
                        <w:t xml:space="preserve">　ハワイ州全体での一次エネルギー消費量</w:t>
                      </w:r>
                      <w:r>
                        <w:rPr>
                          <w:rFonts w:hint="eastAsia"/>
                        </w:rPr>
                        <w:t>[4]</w:t>
                      </w:r>
                    </w:p>
                  </w:txbxContent>
                </v:textbox>
                <w10:anchorlock/>
              </v:shape>
            </w:pict>
          </mc:Fallback>
        </mc:AlternateContent>
      </w:r>
    </w:p>
    <w:p w:rsidR="00244F17" w:rsidRDefault="00244F17" w:rsidP="00596652">
      <w:pPr>
        <w:pStyle w:val="a3"/>
        <w:ind w:leftChars="0" w:left="360"/>
        <w:rPr>
          <w:rFonts w:hint="eastAsia"/>
        </w:rPr>
      </w:pPr>
      <w:r>
        <w:rPr>
          <w:rFonts w:hint="eastAsia"/>
        </w:rPr>
        <w:t>エネルギー消費量のほぼ</w:t>
      </w:r>
      <w:r>
        <w:rPr>
          <w:rFonts w:hint="eastAsia"/>
        </w:rPr>
        <w:t>9</w:t>
      </w:r>
      <w:r>
        <w:rPr>
          <w:rFonts w:hint="eastAsia"/>
        </w:rPr>
        <w:t>割を石油および天然ガスに依存している．図</w:t>
      </w:r>
      <w:r>
        <w:rPr>
          <w:rFonts w:hint="eastAsia"/>
        </w:rPr>
        <w:t>1</w:t>
      </w:r>
      <w:r>
        <w:rPr>
          <w:rFonts w:hint="eastAsia"/>
        </w:rPr>
        <w:t>に示したエネルギー消費量を二次エネルギーベースで見た場合，電力の占める割合（電化率）はおよそ</w:t>
      </w:r>
      <w:r>
        <w:rPr>
          <w:rFonts w:hint="eastAsia"/>
        </w:rPr>
        <w:t>38%</w:t>
      </w:r>
      <w:r>
        <w:rPr>
          <w:rFonts w:hint="eastAsia"/>
        </w:rPr>
        <w:t>であり，世界的に見ても高い水準にある．</w:t>
      </w:r>
    </w:p>
    <w:p w:rsidR="00244F17" w:rsidRDefault="00244F17" w:rsidP="005A6D49">
      <w:pPr>
        <w:pStyle w:val="a3"/>
        <w:ind w:leftChars="171" w:left="359" w:firstLineChars="100" w:firstLine="210"/>
        <w:rPr>
          <w:rFonts w:hint="eastAsia"/>
        </w:rPr>
      </w:pPr>
      <w:r>
        <w:rPr>
          <w:rFonts w:hint="eastAsia"/>
        </w:rPr>
        <w:t>カウアイ島単独での電力の供給源構成は，石油・天然ガス火力</w:t>
      </w:r>
      <w:r>
        <w:rPr>
          <w:rFonts w:hint="eastAsia"/>
        </w:rPr>
        <w:t>438GWh</w:t>
      </w:r>
      <w:r>
        <w:rPr>
          <w:rFonts w:hint="eastAsia"/>
        </w:rPr>
        <w:t>（</w:t>
      </w:r>
      <w:r>
        <w:rPr>
          <w:rFonts w:hint="eastAsia"/>
        </w:rPr>
        <w:t>90%</w:t>
      </w:r>
      <w:r>
        <w:rPr>
          <w:rFonts w:hint="eastAsia"/>
        </w:rPr>
        <w:t>），バイオマス火力</w:t>
      </w:r>
      <w:r>
        <w:rPr>
          <w:rFonts w:hint="eastAsia"/>
        </w:rPr>
        <w:t>6GWh</w:t>
      </w:r>
      <w:r>
        <w:rPr>
          <w:rFonts w:hint="eastAsia"/>
        </w:rPr>
        <w:t>（</w:t>
      </w:r>
      <w:r w:rsidR="005A6D49">
        <w:rPr>
          <w:rFonts w:hint="eastAsia"/>
        </w:rPr>
        <w:t>1</w:t>
      </w:r>
      <w:r>
        <w:rPr>
          <w:rFonts w:hint="eastAsia"/>
        </w:rPr>
        <w:t>%</w:t>
      </w:r>
      <w:r>
        <w:rPr>
          <w:rFonts w:hint="eastAsia"/>
        </w:rPr>
        <w:t>），水力</w:t>
      </w:r>
      <w:r>
        <w:rPr>
          <w:rFonts w:hint="eastAsia"/>
        </w:rPr>
        <w:t>41GWh</w:t>
      </w:r>
      <w:r>
        <w:rPr>
          <w:rFonts w:hint="eastAsia"/>
        </w:rPr>
        <w:t>（</w:t>
      </w:r>
      <w:r w:rsidR="005A6D49">
        <w:rPr>
          <w:rFonts w:hint="eastAsia"/>
        </w:rPr>
        <w:t>8%</w:t>
      </w:r>
      <w:r w:rsidR="005A6D49">
        <w:rPr>
          <w:rFonts w:hint="eastAsia"/>
        </w:rPr>
        <w:t>）</w:t>
      </w:r>
      <w:r>
        <w:rPr>
          <w:rFonts w:hint="eastAsia"/>
        </w:rPr>
        <w:t>，太陽光</w:t>
      </w:r>
      <w:r>
        <w:rPr>
          <w:rFonts w:hint="eastAsia"/>
        </w:rPr>
        <w:t>3.90GWh</w:t>
      </w:r>
      <w:r w:rsidR="005A6D49">
        <w:rPr>
          <w:rFonts w:hint="eastAsia"/>
        </w:rPr>
        <w:t>（</w:t>
      </w:r>
      <w:r w:rsidR="005A6D49">
        <w:rPr>
          <w:rFonts w:hint="eastAsia"/>
        </w:rPr>
        <w:t>0%</w:t>
      </w:r>
      <w:r w:rsidR="005A6D49">
        <w:rPr>
          <w:rFonts w:hint="eastAsia"/>
        </w:rPr>
        <w:t>）</w:t>
      </w:r>
      <w:r>
        <w:rPr>
          <w:rFonts w:hint="eastAsia"/>
        </w:rPr>
        <w:t>となってい</w:t>
      </w:r>
      <w:r>
        <w:rPr>
          <w:rFonts w:hint="eastAsia"/>
        </w:rPr>
        <w:lastRenderedPageBreak/>
        <w:t>る．</w:t>
      </w:r>
      <w:r w:rsidR="005A6D49">
        <w:rPr>
          <w:rFonts w:hint="eastAsia"/>
        </w:rPr>
        <w:t>ヤシの木より高い建造物を建てることができないという規制のためか，風力発電は現状では利用されていない．また，カウアイ島はハワイ諸島では珍しく活火山が存在しないため地熱発電も行われていない．</w:t>
      </w:r>
    </w:p>
    <w:p w:rsidR="00A14629" w:rsidRDefault="00A14629" w:rsidP="00A14629">
      <w:pPr>
        <w:rPr>
          <w:rFonts w:hint="eastAsia"/>
        </w:rPr>
      </w:pPr>
    </w:p>
    <w:p w:rsidR="005A6D49" w:rsidRDefault="005A6D49" w:rsidP="005A6D49">
      <w:pPr>
        <w:pStyle w:val="a3"/>
        <w:numPr>
          <w:ilvl w:val="0"/>
          <w:numId w:val="1"/>
        </w:numPr>
        <w:ind w:leftChars="0"/>
        <w:rPr>
          <w:rFonts w:hint="eastAsia"/>
        </w:rPr>
      </w:pPr>
      <w:r>
        <w:rPr>
          <w:rFonts w:hint="eastAsia"/>
        </w:rPr>
        <w:t>4S</w:t>
      </w:r>
      <w:r>
        <w:rPr>
          <w:rFonts w:hint="eastAsia"/>
        </w:rPr>
        <w:t>炉を導入するメリットとデメリット</w:t>
      </w:r>
    </w:p>
    <w:p w:rsidR="005A6D49" w:rsidRDefault="005A6D49" w:rsidP="005A6D49">
      <w:pPr>
        <w:pStyle w:val="a3"/>
        <w:ind w:leftChars="0" w:left="360"/>
        <w:rPr>
          <w:rFonts w:hint="eastAsia"/>
        </w:rPr>
      </w:pPr>
      <w:r>
        <w:rPr>
          <w:rFonts w:hint="eastAsia"/>
        </w:rPr>
        <w:t xml:space="preserve">　カウアイ島の気候は</w:t>
      </w:r>
      <w:r w:rsidR="00A14629">
        <w:rPr>
          <w:rFonts w:hint="eastAsia"/>
        </w:rPr>
        <w:t>高温多湿で</w:t>
      </w:r>
      <w:r>
        <w:rPr>
          <w:rFonts w:hint="eastAsia"/>
        </w:rPr>
        <w:t>，年間降水量も非常に多い</w:t>
      </w:r>
      <w:r w:rsidR="00A14629">
        <w:rPr>
          <w:rFonts w:hint="eastAsia"/>
        </w:rPr>
        <w:t>[4]</w:t>
      </w:r>
      <w:r>
        <w:rPr>
          <w:rFonts w:hint="eastAsia"/>
        </w:rPr>
        <w:t>．太陽光発電</w:t>
      </w:r>
      <w:r w:rsidR="00A14629">
        <w:rPr>
          <w:rFonts w:hint="eastAsia"/>
        </w:rPr>
        <w:t>は高温条件下では発電効率が低下するし，また年間降水量が多いということは日照時間が短いということであるから，カウアイ島において</w:t>
      </w:r>
      <w:r>
        <w:rPr>
          <w:rFonts w:hint="eastAsia"/>
        </w:rPr>
        <w:t>経済性を担保しながら</w:t>
      </w:r>
      <w:r w:rsidR="00A14629">
        <w:rPr>
          <w:rFonts w:hint="eastAsia"/>
        </w:rPr>
        <w:t>太陽光発電</w:t>
      </w:r>
      <w:r w:rsidR="00A14629">
        <w:rPr>
          <w:rFonts w:hint="eastAsia"/>
        </w:rPr>
        <w:t>の</w:t>
      </w:r>
      <w:r>
        <w:rPr>
          <w:rFonts w:hint="eastAsia"/>
        </w:rPr>
        <w:t>大規模導入</w:t>
      </w:r>
      <w:r w:rsidR="00A14629">
        <w:rPr>
          <w:rFonts w:hint="eastAsia"/>
        </w:rPr>
        <w:t>を行う</w:t>
      </w:r>
      <w:r>
        <w:rPr>
          <w:rFonts w:hint="eastAsia"/>
        </w:rPr>
        <w:t>のは非常に困難であると考えられる．また，ヤシの木よりも高い建造物を設置できないことから，風力発電の導入も困難である．このような諸条件を考慮すると，カウアイ島における</w:t>
      </w:r>
      <w:r>
        <w:rPr>
          <w:rFonts w:hint="eastAsia"/>
        </w:rPr>
        <w:t>4S</w:t>
      </w:r>
      <w:r>
        <w:rPr>
          <w:rFonts w:hint="eastAsia"/>
        </w:rPr>
        <w:t>炉の比較優位性は確固たるものである．なお，カウアイ島における年間電力需要量</w:t>
      </w:r>
      <w:r>
        <w:rPr>
          <w:rFonts w:hint="eastAsia"/>
        </w:rPr>
        <w:t>489GWh</w:t>
      </w:r>
      <w:r>
        <w:rPr>
          <w:rFonts w:hint="eastAsia"/>
        </w:rPr>
        <w:t>を出力ベースに換算すると約</w:t>
      </w:r>
      <w:r>
        <w:rPr>
          <w:rFonts w:hint="eastAsia"/>
        </w:rPr>
        <w:t>56,000kW</w:t>
      </w:r>
      <w:r>
        <w:rPr>
          <w:rFonts w:hint="eastAsia"/>
        </w:rPr>
        <w:t>となり，電力需給バランスの観点からも</w:t>
      </w:r>
      <w:r>
        <w:rPr>
          <w:rFonts w:hint="eastAsia"/>
        </w:rPr>
        <w:t>4S</w:t>
      </w:r>
      <w:r>
        <w:rPr>
          <w:rFonts w:hint="eastAsia"/>
        </w:rPr>
        <w:t>炉の導入は十分可能であると推察される．</w:t>
      </w:r>
    </w:p>
    <w:p w:rsidR="005A6D49" w:rsidRDefault="005A6D49" w:rsidP="005A6D49">
      <w:pPr>
        <w:pStyle w:val="a3"/>
        <w:ind w:leftChars="0" w:left="360"/>
        <w:rPr>
          <w:rFonts w:hint="eastAsia"/>
        </w:rPr>
      </w:pPr>
      <w:r>
        <w:rPr>
          <w:rFonts w:hint="eastAsia"/>
        </w:rPr>
        <w:t xml:space="preserve">　一方，カウアイ島に</w:t>
      </w:r>
      <w:r>
        <w:rPr>
          <w:rFonts w:hint="eastAsia"/>
        </w:rPr>
        <w:t>4S</w:t>
      </w:r>
      <w:r>
        <w:rPr>
          <w:rFonts w:hint="eastAsia"/>
        </w:rPr>
        <w:t>炉を導入するデメリットとして考えられるのは，カウアイ島の経済活動の基盤である観光産業や農業への影響である．カウアイ島に原子力発電所を建設することになれば，少なからずその風評による被害が現地経済に及ぶことが容易に想定される．</w:t>
      </w:r>
      <w:r w:rsidR="00CA2533">
        <w:rPr>
          <w:rFonts w:hint="eastAsia"/>
        </w:rPr>
        <w:t>よって，カウアイ島に</w:t>
      </w:r>
      <w:r w:rsidR="00CA2533">
        <w:rPr>
          <w:rFonts w:hint="eastAsia"/>
        </w:rPr>
        <w:t>4S</w:t>
      </w:r>
      <w:r w:rsidR="00CA2533">
        <w:rPr>
          <w:rFonts w:hint="eastAsia"/>
        </w:rPr>
        <w:t>炉を導入するのであれば，</w:t>
      </w:r>
      <w:r>
        <w:rPr>
          <w:rFonts w:hint="eastAsia"/>
        </w:rPr>
        <w:t>それらの風評被害による影響を埋め合わせ，さらにプラスの波及効果をもたらすような新産業の構築</w:t>
      </w:r>
      <w:r w:rsidR="00A14629">
        <w:rPr>
          <w:rFonts w:hint="eastAsia"/>
        </w:rPr>
        <w:t>，そして</w:t>
      </w:r>
      <w:r w:rsidR="00CA2533">
        <w:rPr>
          <w:rFonts w:hint="eastAsia"/>
        </w:rPr>
        <w:t>ビジネス戦略の展開が必要である．</w:t>
      </w:r>
    </w:p>
    <w:p w:rsidR="005457B4" w:rsidRPr="00A14629" w:rsidRDefault="005457B4" w:rsidP="00296D85">
      <w:pPr>
        <w:rPr>
          <w:rFonts w:hint="eastAsia"/>
        </w:rPr>
      </w:pPr>
    </w:p>
    <w:p w:rsidR="00296D85" w:rsidRDefault="00296D85" w:rsidP="00296D85">
      <w:pPr>
        <w:pStyle w:val="a3"/>
        <w:numPr>
          <w:ilvl w:val="0"/>
          <w:numId w:val="1"/>
        </w:numPr>
        <w:ind w:leftChars="0"/>
        <w:rPr>
          <w:rFonts w:hint="eastAsia"/>
        </w:rPr>
      </w:pPr>
      <w:r>
        <w:rPr>
          <w:rFonts w:hint="eastAsia"/>
        </w:rPr>
        <w:t>参考文献：</w:t>
      </w:r>
    </w:p>
    <w:p w:rsidR="00296D85" w:rsidRDefault="00296D85" w:rsidP="00296D85">
      <w:pPr>
        <w:rPr>
          <w:rFonts w:hint="eastAsia"/>
        </w:rPr>
      </w:pPr>
      <w:r>
        <w:rPr>
          <w:rFonts w:hint="eastAsia"/>
        </w:rPr>
        <w:t xml:space="preserve">[1]   </w:t>
      </w:r>
      <w:r>
        <w:rPr>
          <w:rFonts w:hint="eastAsia"/>
        </w:rPr>
        <w:t>米国統計局</w:t>
      </w:r>
      <w:r>
        <w:rPr>
          <w:rFonts w:hint="eastAsia"/>
        </w:rPr>
        <w:t>HP</w:t>
      </w:r>
      <w:r>
        <w:rPr>
          <w:rFonts w:hint="eastAsia"/>
        </w:rPr>
        <w:t>，</w:t>
      </w:r>
      <w:hyperlink r:id="rId9" w:history="1">
        <w:r w:rsidRPr="00B94DC4">
          <w:rPr>
            <w:rStyle w:val="a4"/>
          </w:rPr>
          <w:t>http://quickfacts.census.gov/qfd/states/15/15007.html</w:t>
        </w:r>
      </w:hyperlink>
    </w:p>
    <w:p w:rsidR="00296D85" w:rsidRDefault="005457B4" w:rsidP="00296D85">
      <w:pPr>
        <w:rPr>
          <w:rFonts w:hint="eastAsia"/>
        </w:rPr>
      </w:pPr>
      <w:r>
        <w:rPr>
          <w:rFonts w:hint="eastAsia"/>
        </w:rPr>
        <w:t xml:space="preserve">[2]   </w:t>
      </w:r>
      <w:r>
        <w:rPr>
          <w:rFonts w:hint="eastAsia"/>
        </w:rPr>
        <w:t>ハワイ州観光局</w:t>
      </w:r>
      <w:r>
        <w:rPr>
          <w:rFonts w:hint="eastAsia"/>
        </w:rPr>
        <w:t>HP</w:t>
      </w:r>
      <w:r>
        <w:rPr>
          <w:rFonts w:hint="eastAsia"/>
        </w:rPr>
        <w:t>，</w:t>
      </w:r>
      <w:hyperlink r:id="rId10" w:history="1">
        <w:r w:rsidRPr="00B94DC4">
          <w:rPr>
            <w:rStyle w:val="a4"/>
          </w:rPr>
          <w:t>http://www.gohawaii.jp/atoz/hawaii_kauai.html</w:t>
        </w:r>
      </w:hyperlink>
    </w:p>
    <w:p w:rsidR="005457B4" w:rsidRDefault="00596652" w:rsidP="00296D85">
      <w:pPr>
        <w:rPr>
          <w:rFonts w:hint="eastAsia"/>
        </w:rPr>
      </w:pPr>
      <w:r>
        <w:rPr>
          <w:rFonts w:hint="eastAsia"/>
        </w:rPr>
        <w:t xml:space="preserve">[3]   </w:t>
      </w:r>
      <w:r>
        <w:rPr>
          <w:rFonts w:hint="eastAsia"/>
        </w:rPr>
        <w:t>ハワイ観光旅行の情報まとめサイト</w:t>
      </w:r>
      <w:r>
        <w:rPr>
          <w:rFonts w:hint="eastAsia"/>
        </w:rPr>
        <w:t>HP</w:t>
      </w:r>
      <w:r>
        <w:rPr>
          <w:rFonts w:hint="eastAsia"/>
        </w:rPr>
        <w:t>，</w:t>
      </w:r>
      <w:hyperlink r:id="rId11" w:history="1">
        <w:r w:rsidRPr="00B94DC4">
          <w:rPr>
            <w:rStyle w:val="a4"/>
          </w:rPr>
          <w:t>http://hmokhawaii.com/05/kauai.htm</w:t>
        </w:r>
      </w:hyperlink>
    </w:p>
    <w:p w:rsidR="00A14629" w:rsidRDefault="00A97A89" w:rsidP="00A14629">
      <w:pPr>
        <w:ind w:left="567" w:hangingChars="270" w:hanging="567"/>
        <w:rPr>
          <w:rFonts w:hint="eastAsia"/>
        </w:rPr>
      </w:pPr>
      <w:r>
        <w:rPr>
          <w:rFonts w:hint="eastAsia"/>
        </w:rPr>
        <w:t xml:space="preserve">[4]   </w:t>
      </w:r>
      <w:r>
        <w:rPr>
          <w:rFonts w:hint="eastAsia"/>
        </w:rPr>
        <w:t>ハワイ州</w:t>
      </w:r>
      <w:r w:rsidR="00A14629">
        <w:rPr>
          <w:rFonts w:hint="eastAsia"/>
        </w:rPr>
        <w:t>政府</w:t>
      </w:r>
      <w:r w:rsidR="00A14629">
        <w:rPr>
          <w:rFonts w:hint="eastAsia"/>
        </w:rPr>
        <w:t>HP</w:t>
      </w:r>
      <w:r w:rsidR="00A14629">
        <w:rPr>
          <w:rFonts w:hint="eastAsia"/>
        </w:rPr>
        <w:t>内，州情勢レポート</w:t>
      </w:r>
      <w:r>
        <w:rPr>
          <w:rFonts w:hint="eastAsia"/>
        </w:rPr>
        <w:t>，</w:t>
      </w:r>
    </w:p>
    <w:p w:rsidR="00596652" w:rsidRDefault="00A14629" w:rsidP="00A14629">
      <w:pPr>
        <w:ind w:leftChars="270" w:left="567"/>
        <w:rPr>
          <w:rFonts w:hint="eastAsia"/>
        </w:rPr>
      </w:pPr>
      <w:hyperlink r:id="rId12" w:history="1">
        <w:r w:rsidRPr="00B94DC4">
          <w:rPr>
            <w:rStyle w:val="a4"/>
          </w:rPr>
          <w:t>http://hawaii.gov/dbedt/info/economic/databook/2009-individual/17/</w:t>
        </w:r>
      </w:hyperlink>
    </w:p>
    <w:p w:rsidR="00A97A89" w:rsidRDefault="00A97A89" w:rsidP="00296D85"/>
    <w:sectPr w:rsidR="00A97A89">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BF3" w:rsidRDefault="004D7BF3" w:rsidP="00CA2533">
      <w:r>
        <w:separator/>
      </w:r>
    </w:p>
  </w:endnote>
  <w:endnote w:type="continuationSeparator" w:id="0">
    <w:p w:rsidR="004D7BF3" w:rsidRDefault="004D7BF3" w:rsidP="00CA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90079"/>
      <w:docPartObj>
        <w:docPartGallery w:val="Page Numbers (Bottom of Page)"/>
        <w:docPartUnique/>
      </w:docPartObj>
    </w:sdtPr>
    <w:sdtContent>
      <w:p w:rsidR="00CA2533" w:rsidRDefault="00CA2533">
        <w:pPr>
          <w:pStyle w:val="a9"/>
          <w:jc w:val="center"/>
        </w:pPr>
        <w:r>
          <w:fldChar w:fldCharType="begin"/>
        </w:r>
        <w:r>
          <w:instrText>PAGE   \* MERGEFORMAT</w:instrText>
        </w:r>
        <w:r>
          <w:fldChar w:fldCharType="separate"/>
        </w:r>
        <w:r w:rsidR="00A14629" w:rsidRPr="00A14629">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BF3" w:rsidRDefault="004D7BF3" w:rsidP="00CA2533">
      <w:r>
        <w:separator/>
      </w:r>
    </w:p>
  </w:footnote>
  <w:footnote w:type="continuationSeparator" w:id="0">
    <w:p w:rsidR="004D7BF3" w:rsidRDefault="004D7BF3" w:rsidP="00CA2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6366B"/>
    <w:multiLevelType w:val="hybridMultilevel"/>
    <w:tmpl w:val="0276D954"/>
    <w:lvl w:ilvl="0" w:tplc="DB9478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D85"/>
    <w:rsid w:val="00244F17"/>
    <w:rsid w:val="00296D85"/>
    <w:rsid w:val="004D7BF3"/>
    <w:rsid w:val="005457B4"/>
    <w:rsid w:val="00596652"/>
    <w:rsid w:val="005A6D49"/>
    <w:rsid w:val="008A093E"/>
    <w:rsid w:val="00A14629"/>
    <w:rsid w:val="00A97A89"/>
    <w:rsid w:val="00AE3AF2"/>
    <w:rsid w:val="00CA2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D85"/>
    <w:pPr>
      <w:ind w:leftChars="400" w:left="840"/>
    </w:pPr>
  </w:style>
  <w:style w:type="character" w:styleId="a4">
    <w:name w:val="Hyperlink"/>
    <w:basedOn w:val="a0"/>
    <w:uiPriority w:val="99"/>
    <w:unhideWhenUsed/>
    <w:rsid w:val="00296D85"/>
    <w:rPr>
      <w:color w:val="0000FF" w:themeColor="hyperlink"/>
      <w:u w:val="single"/>
    </w:rPr>
  </w:style>
  <w:style w:type="paragraph" w:styleId="a5">
    <w:name w:val="Balloon Text"/>
    <w:basedOn w:val="a"/>
    <w:link w:val="a6"/>
    <w:uiPriority w:val="99"/>
    <w:semiHidden/>
    <w:unhideWhenUsed/>
    <w:rsid w:val="00A97A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97A89"/>
    <w:rPr>
      <w:rFonts w:asciiTheme="majorHAnsi" w:eastAsiaTheme="majorEastAsia" w:hAnsiTheme="majorHAnsi" w:cstheme="majorBidi"/>
      <w:sz w:val="18"/>
      <w:szCs w:val="18"/>
    </w:rPr>
  </w:style>
  <w:style w:type="paragraph" w:styleId="a7">
    <w:name w:val="header"/>
    <w:basedOn w:val="a"/>
    <w:link w:val="a8"/>
    <w:uiPriority w:val="99"/>
    <w:unhideWhenUsed/>
    <w:rsid w:val="00CA2533"/>
    <w:pPr>
      <w:tabs>
        <w:tab w:val="center" w:pos="4252"/>
        <w:tab w:val="right" w:pos="8504"/>
      </w:tabs>
      <w:snapToGrid w:val="0"/>
    </w:pPr>
  </w:style>
  <w:style w:type="character" w:customStyle="1" w:styleId="a8">
    <w:name w:val="ヘッダー (文字)"/>
    <w:basedOn w:val="a0"/>
    <w:link w:val="a7"/>
    <w:uiPriority w:val="99"/>
    <w:rsid w:val="00CA2533"/>
  </w:style>
  <w:style w:type="paragraph" w:styleId="a9">
    <w:name w:val="footer"/>
    <w:basedOn w:val="a"/>
    <w:link w:val="aa"/>
    <w:uiPriority w:val="99"/>
    <w:unhideWhenUsed/>
    <w:rsid w:val="00CA2533"/>
    <w:pPr>
      <w:tabs>
        <w:tab w:val="center" w:pos="4252"/>
        <w:tab w:val="right" w:pos="8504"/>
      </w:tabs>
      <w:snapToGrid w:val="0"/>
    </w:pPr>
  </w:style>
  <w:style w:type="character" w:customStyle="1" w:styleId="aa">
    <w:name w:val="フッター (文字)"/>
    <w:basedOn w:val="a0"/>
    <w:link w:val="a9"/>
    <w:uiPriority w:val="99"/>
    <w:rsid w:val="00CA25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D85"/>
    <w:pPr>
      <w:ind w:leftChars="400" w:left="840"/>
    </w:pPr>
  </w:style>
  <w:style w:type="character" w:styleId="a4">
    <w:name w:val="Hyperlink"/>
    <w:basedOn w:val="a0"/>
    <w:uiPriority w:val="99"/>
    <w:unhideWhenUsed/>
    <w:rsid w:val="00296D85"/>
    <w:rPr>
      <w:color w:val="0000FF" w:themeColor="hyperlink"/>
      <w:u w:val="single"/>
    </w:rPr>
  </w:style>
  <w:style w:type="paragraph" w:styleId="a5">
    <w:name w:val="Balloon Text"/>
    <w:basedOn w:val="a"/>
    <w:link w:val="a6"/>
    <w:uiPriority w:val="99"/>
    <w:semiHidden/>
    <w:unhideWhenUsed/>
    <w:rsid w:val="00A97A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97A89"/>
    <w:rPr>
      <w:rFonts w:asciiTheme="majorHAnsi" w:eastAsiaTheme="majorEastAsia" w:hAnsiTheme="majorHAnsi" w:cstheme="majorBidi"/>
      <w:sz w:val="18"/>
      <w:szCs w:val="18"/>
    </w:rPr>
  </w:style>
  <w:style w:type="paragraph" w:styleId="a7">
    <w:name w:val="header"/>
    <w:basedOn w:val="a"/>
    <w:link w:val="a8"/>
    <w:uiPriority w:val="99"/>
    <w:unhideWhenUsed/>
    <w:rsid w:val="00CA2533"/>
    <w:pPr>
      <w:tabs>
        <w:tab w:val="center" w:pos="4252"/>
        <w:tab w:val="right" w:pos="8504"/>
      </w:tabs>
      <w:snapToGrid w:val="0"/>
    </w:pPr>
  </w:style>
  <w:style w:type="character" w:customStyle="1" w:styleId="a8">
    <w:name w:val="ヘッダー (文字)"/>
    <w:basedOn w:val="a0"/>
    <w:link w:val="a7"/>
    <w:uiPriority w:val="99"/>
    <w:rsid w:val="00CA2533"/>
  </w:style>
  <w:style w:type="paragraph" w:styleId="a9">
    <w:name w:val="footer"/>
    <w:basedOn w:val="a"/>
    <w:link w:val="aa"/>
    <w:uiPriority w:val="99"/>
    <w:unhideWhenUsed/>
    <w:rsid w:val="00CA2533"/>
    <w:pPr>
      <w:tabs>
        <w:tab w:val="center" w:pos="4252"/>
        <w:tab w:val="right" w:pos="8504"/>
      </w:tabs>
      <w:snapToGrid w:val="0"/>
    </w:pPr>
  </w:style>
  <w:style w:type="character" w:customStyle="1" w:styleId="aa">
    <w:name w:val="フッター (文字)"/>
    <w:basedOn w:val="a0"/>
    <w:link w:val="a9"/>
    <w:uiPriority w:val="99"/>
    <w:rsid w:val="00CA2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hawaii.gov/dbedt/info/economic/databook/2009-individual/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mokhawaii.com/05/kauai.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hawaii.jp/atoz/hawaii_kauai.html" TargetMode="External"/><Relationship Id="rId4" Type="http://schemas.openxmlformats.org/officeDocument/2006/relationships/settings" Target="settings.xml"/><Relationship Id="rId9" Type="http://schemas.openxmlformats.org/officeDocument/2006/relationships/hyperlink" Target="http://quickfacts.census.gov/qfd/states/15/15007.html"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Sheet1!$B$8</c:f>
              <c:strCache>
                <c:ptCount val="1"/>
                <c:pt idx="0">
                  <c:v>石油・ガス</c:v>
                </c:pt>
              </c:strCache>
            </c:strRef>
          </c:tx>
          <c:spPr>
            <a:solidFill>
              <a:srgbClr val="FF99FF"/>
            </a:solidFill>
          </c:spPr>
          <c:invertIfNegative val="0"/>
          <c:cat>
            <c:numRef>
              <c:f>Sheet1!$A$9:$A$13</c:f>
              <c:numCache>
                <c:formatCode>General</c:formatCode>
                <c:ptCount val="5"/>
                <c:pt idx="0">
                  <c:v>1990</c:v>
                </c:pt>
                <c:pt idx="1">
                  <c:v>1995</c:v>
                </c:pt>
                <c:pt idx="2">
                  <c:v>2000</c:v>
                </c:pt>
                <c:pt idx="3">
                  <c:v>2005</c:v>
                </c:pt>
                <c:pt idx="4">
                  <c:v>2008</c:v>
                </c:pt>
              </c:numCache>
            </c:numRef>
          </c:cat>
          <c:val>
            <c:numRef>
              <c:f>Sheet1!$B$9:$B$13</c:f>
              <c:numCache>
                <c:formatCode>General</c:formatCode>
                <c:ptCount val="5"/>
                <c:pt idx="0">
                  <c:v>300.15347180000998</c:v>
                </c:pt>
                <c:pt idx="1">
                  <c:v>289.04204561015001</c:v>
                </c:pt>
                <c:pt idx="2">
                  <c:v>306.21455664708998</c:v>
                </c:pt>
                <c:pt idx="3">
                  <c:v>307.55025735319003</c:v>
                </c:pt>
                <c:pt idx="4">
                  <c:v>272.36361722776496</c:v>
                </c:pt>
              </c:numCache>
            </c:numRef>
          </c:val>
        </c:ser>
        <c:ser>
          <c:idx val="1"/>
          <c:order val="1"/>
          <c:tx>
            <c:strRef>
              <c:f>Sheet1!$C$8</c:f>
              <c:strCache>
                <c:ptCount val="1"/>
                <c:pt idx="0">
                  <c:v>バイオマス</c:v>
                </c:pt>
              </c:strCache>
            </c:strRef>
          </c:tx>
          <c:spPr>
            <a:solidFill>
              <a:srgbClr val="00B050"/>
            </a:solidFill>
          </c:spPr>
          <c:invertIfNegative val="0"/>
          <c:cat>
            <c:numRef>
              <c:f>Sheet1!$A$9:$A$13</c:f>
              <c:numCache>
                <c:formatCode>General</c:formatCode>
                <c:ptCount val="5"/>
                <c:pt idx="0">
                  <c:v>1990</c:v>
                </c:pt>
                <c:pt idx="1">
                  <c:v>1995</c:v>
                </c:pt>
                <c:pt idx="2">
                  <c:v>2000</c:v>
                </c:pt>
                <c:pt idx="3">
                  <c:v>2005</c:v>
                </c:pt>
                <c:pt idx="4">
                  <c:v>2008</c:v>
                </c:pt>
              </c:numCache>
            </c:numRef>
          </c:cat>
          <c:val>
            <c:numRef>
              <c:f>Sheet1!$C$9:$C$13</c:f>
              <c:numCache>
                <c:formatCode>General</c:formatCode>
                <c:ptCount val="5"/>
                <c:pt idx="0">
                  <c:v>19.117612002000001</c:v>
                </c:pt>
                <c:pt idx="1">
                  <c:v>12.47413632572</c:v>
                </c:pt>
                <c:pt idx="2">
                  <c:v>7.525818883635</c:v>
                </c:pt>
                <c:pt idx="3">
                  <c:v>5.5748096058150001</c:v>
                </c:pt>
                <c:pt idx="4">
                  <c:v>9.31719821135</c:v>
                </c:pt>
              </c:numCache>
            </c:numRef>
          </c:val>
        </c:ser>
        <c:ser>
          <c:idx val="2"/>
          <c:order val="2"/>
          <c:tx>
            <c:strRef>
              <c:f>Sheet1!$D$8</c:f>
              <c:strCache>
                <c:ptCount val="1"/>
                <c:pt idx="0">
                  <c:v>太陽熱</c:v>
                </c:pt>
              </c:strCache>
            </c:strRef>
          </c:tx>
          <c:spPr>
            <a:solidFill>
              <a:srgbClr val="FFC000"/>
            </a:solidFill>
          </c:spPr>
          <c:invertIfNegative val="0"/>
          <c:cat>
            <c:numRef>
              <c:f>Sheet1!$A$9:$A$13</c:f>
              <c:numCache>
                <c:formatCode>General</c:formatCode>
                <c:ptCount val="5"/>
                <c:pt idx="0">
                  <c:v>1990</c:v>
                </c:pt>
                <c:pt idx="1">
                  <c:v>1995</c:v>
                </c:pt>
                <c:pt idx="2">
                  <c:v>2000</c:v>
                </c:pt>
                <c:pt idx="3">
                  <c:v>2005</c:v>
                </c:pt>
                <c:pt idx="4">
                  <c:v>2008</c:v>
                </c:pt>
              </c:numCache>
            </c:numRef>
          </c:cat>
          <c:val>
            <c:numRef>
              <c:f>Sheet1!$D$9:$D$13</c:f>
              <c:numCache>
                <c:formatCode>General</c:formatCode>
                <c:ptCount val="5"/>
                <c:pt idx="0">
                  <c:v>2.4688306889999998</c:v>
                </c:pt>
                <c:pt idx="1">
                  <c:v>2.9948815358099998</c:v>
                </c:pt>
                <c:pt idx="2">
                  <c:v>3.743654672555</c:v>
                </c:pt>
                <c:pt idx="3">
                  <c:v>4.7419485178249996</c:v>
                </c:pt>
                <c:pt idx="4">
                  <c:v>5.4907216545699997</c:v>
                </c:pt>
              </c:numCache>
            </c:numRef>
          </c:val>
        </c:ser>
        <c:ser>
          <c:idx val="3"/>
          <c:order val="3"/>
          <c:tx>
            <c:strRef>
              <c:f>Sheet1!$E$8</c:f>
              <c:strCache>
                <c:ptCount val="1"/>
                <c:pt idx="0">
                  <c:v>水力</c:v>
                </c:pt>
              </c:strCache>
            </c:strRef>
          </c:tx>
          <c:spPr>
            <a:solidFill>
              <a:srgbClr val="00B0F0"/>
            </a:solidFill>
          </c:spPr>
          <c:invertIfNegative val="0"/>
          <c:cat>
            <c:numRef>
              <c:f>Sheet1!$A$9:$A$13</c:f>
              <c:numCache>
                <c:formatCode>General</c:formatCode>
                <c:ptCount val="5"/>
                <c:pt idx="0">
                  <c:v>1990</c:v>
                </c:pt>
                <c:pt idx="1">
                  <c:v>1995</c:v>
                </c:pt>
                <c:pt idx="2">
                  <c:v>2000</c:v>
                </c:pt>
                <c:pt idx="3">
                  <c:v>2005</c:v>
                </c:pt>
                <c:pt idx="4">
                  <c:v>2008</c:v>
                </c:pt>
              </c:numCache>
            </c:numRef>
          </c:cat>
          <c:val>
            <c:numRef>
              <c:f>Sheet1!$E$9:$E$13</c:f>
              <c:numCache>
                <c:formatCode>General</c:formatCode>
                <c:ptCount val="5"/>
                <c:pt idx="0">
                  <c:v>1.1289097594999999</c:v>
                </c:pt>
                <c:pt idx="1">
                  <c:v>1.1217353797199998</c:v>
                </c:pt>
                <c:pt idx="2">
                  <c:v>1.000298451385</c:v>
                </c:pt>
                <c:pt idx="3">
                  <c:v>1.2094105208549999</c:v>
                </c:pt>
                <c:pt idx="4">
                  <c:v>0.98890384820499999</c:v>
                </c:pt>
              </c:numCache>
            </c:numRef>
          </c:val>
        </c:ser>
        <c:ser>
          <c:idx val="4"/>
          <c:order val="4"/>
          <c:tx>
            <c:strRef>
              <c:f>Sheet1!$F$8</c:f>
              <c:strCache>
                <c:ptCount val="1"/>
                <c:pt idx="0">
                  <c:v>石炭</c:v>
                </c:pt>
              </c:strCache>
            </c:strRef>
          </c:tx>
          <c:spPr>
            <a:solidFill>
              <a:srgbClr val="7030A0"/>
            </a:solidFill>
          </c:spPr>
          <c:invertIfNegative val="0"/>
          <c:cat>
            <c:numRef>
              <c:f>Sheet1!$A$9:$A$13</c:f>
              <c:numCache>
                <c:formatCode>General</c:formatCode>
                <c:ptCount val="5"/>
                <c:pt idx="0">
                  <c:v>1990</c:v>
                </c:pt>
                <c:pt idx="1">
                  <c:v>1995</c:v>
                </c:pt>
                <c:pt idx="2">
                  <c:v>2000</c:v>
                </c:pt>
                <c:pt idx="3">
                  <c:v>2005</c:v>
                </c:pt>
                <c:pt idx="4">
                  <c:v>2008</c:v>
                </c:pt>
              </c:numCache>
            </c:numRef>
          </c:cat>
          <c:val>
            <c:numRef>
              <c:f>Sheet1!$F$9:$F$13</c:f>
              <c:numCache>
                <c:formatCode>General</c:formatCode>
                <c:ptCount val="5"/>
                <c:pt idx="0">
                  <c:v>0.93899970649999998</c:v>
                </c:pt>
                <c:pt idx="1">
                  <c:v>17.434692415664998</c:v>
                </c:pt>
                <c:pt idx="2">
                  <c:v>16.324246133540001</c:v>
                </c:pt>
                <c:pt idx="3">
                  <c:v>16.435449020130001</c:v>
                </c:pt>
                <c:pt idx="4">
                  <c:v>18.867985787889999</c:v>
                </c:pt>
              </c:numCache>
            </c:numRef>
          </c:val>
        </c:ser>
        <c:ser>
          <c:idx val="5"/>
          <c:order val="5"/>
          <c:tx>
            <c:strRef>
              <c:f>Sheet1!$G$8</c:f>
              <c:strCache>
                <c:ptCount val="1"/>
                <c:pt idx="0">
                  <c:v>風力</c:v>
                </c:pt>
              </c:strCache>
            </c:strRef>
          </c:tx>
          <c:invertIfNegative val="0"/>
          <c:cat>
            <c:numRef>
              <c:f>Sheet1!$A$9:$A$13</c:f>
              <c:numCache>
                <c:formatCode>General</c:formatCode>
                <c:ptCount val="5"/>
                <c:pt idx="0">
                  <c:v>1990</c:v>
                </c:pt>
                <c:pt idx="1">
                  <c:v>1995</c:v>
                </c:pt>
                <c:pt idx="2">
                  <c:v>2000</c:v>
                </c:pt>
                <c:pt idx="3">
                  <c:v>2005</c:v>
                </c:pt>
                <c:pt idx="4">
                  <c:v>2008</c:v>
                </c:pt>
              </c:numCache>
            </c:numRef>
          </c:cat>
          <c:val>
            <c:numRef>
              <c:f>Sheet1!$G$9:$G$13</c:f>
              <c:numCache>
                <c:formatCode>General</c:formatCode>
                <c:ptCount val="5"/>
                <c:pt idx="0">
                  <c:v>0.30596619650000001</c:v>
                </c:pt>
                <c:pt idx="1">
                  <c:v>0.24941520294</c:v>
                </c:pt>
                <c:pt idx="2">
                  <c:v>0.18927701949</c:v>
                </c:pt>
                <c:pt idx="3">
                  <c:v>7.3009864820000006E-2</c:v>
                </c:pt>
                <c:pt idx="4">
                  <c:v>2.60451087131</c:v>
                </c:pt>
              </c:numCache>
            </c:numRef>
          </c:val>
        </c:ser>
        <c:ser>
          <c:idx val="6"/>
          <c:order val="6"/>
          <c:tx>
            <c:strRef>
              <c:f>Sheet1!$H$8</c:f>
              <c:strCache>
                <c:ptCount val="1"/>
                <c:pt idx="0">
                  <c:v>地熱</c:v>
                </c:pt>
              </c:strCache>
            </c:strRef>
          </c:tx>
          <c:invertIfNegative val="0"/>
          <c:cat>
            <c:numRef>
              <c:f>Sheet1!$A$9:$A$13</c:f>
              <c:numCache>
                <c:formatCode>General</c:formatCode>
                <c:ptCount val="5"/>
                <c:pt idx="0">
                  <c:v>1990</c:v>
                </c:pt>
                <c:pt idx="1">
                  <c:v>1995</c:v>
                </c:pt>
                <c:pt idx="2">
                  <c:v>2000</c:v>
                </c:pt>
                <c:pt idx="3">
                  <c:v>2005</c:v>
                </c:pt>
                <c:pt idx="4">
                  <c:v>2008</c:v>
                </c:pt>
              </c:numCache>
            </c:numRef>
          </c:cat>
          <c:val>
            <c:numRef>
              <c:f>Sheet1!$H$9:$H$13</c:f>
              <c:numCache>
                <c:formatCode>General</c:formatCode>
                <c:ptCount val="5"/>
                <c:pt idx="0">
                  <c:v>0</c:v>
                </c:pt>
                <c:pt idx="1">
                  <c:v>2.431376206325</c:v>
                </c:pt>
                <c:pt idx="2">
                  <c:v>2.7278469001749999</c:v>
                </c:pt>
                <c:pt idx="3">
                  <c:v>2.4056328435849998</c:v>
                </c:pt>
                <c:pt idx="4">
                  <c:v>2.55492324636</c:v>
                </c:pt>
              </c:numCache>
            </c:numRef>
          </c:val>
        </c:ser>
        <c:ser>
          <c:idx val="7"/>
          <c:order val="7"/>
          <c:tx>
            <c:strRef>
              <c:f>Sheet1!$I$8</c:f>
              <c:strCache>
                <c:ptCount val="1"/>
                <c:pt idx="0">
                  <c:v>廃棄物</c:v>
                </c:pt>
              </c:strCache>
            </c:strRef>
          </c:tx>
          <c:invertIfNegative val="0"/>
          <c:cat>
            <c:numRef>
              <c:f>Sheet1!$A$9:$A$13</c:f>
              <c:numCache>
                <c:formatCode>General</c:formatCode>
                <c:ptCount val="5"/>
                <c:pt idx="0">
                  <c:v>1990</c:v>
                </c:pt>
                <c:pt idx="1">
                  <c:v>1995</c:v>
                </c:pt>
                <c:pt idx="2">
                  <c:v>2000</c:v>
                </c:pt>
                <c:pt idx="3">
                  <c:v>2005</c:v>
                </c:pt>
                <c:pt idx="4">
                  <c:v>2008</c:v>
                </c:pt>
              </c:numCache>
            </c:numRef>
          </c:cat>
          <c:val>
            <c:numRef>
              <c:f>Sheet1!$I$9:$I$13</c:f>
              <c:numCache>
                <c:formatCode>General</c:formatCode>
                <c:ptCount val="5"/>
                <c:pt idx="0">
                  <c:v>5.2012143293299999</c:v>
                </c:pt>
                <c:pt idx="1">
                  <c:v>6.7194396974800004</c:v>
                </c:pt>
                <c:pt idx="2">
                  <c:v>5.3898583153099997</c:v>
                </c:pt>
                <c:pt idx="3">
                  <c:v>4.4322896258499993</c:v>
                </c:pt>
                <c:pt idx="4">
                  <c:v>5.7214623689649997</c:v>
                </c:pt>
              </c:numCache>
            </c:numRef>
          </c:val>
        </c:ser>
        <c:dLbls>
          <c:showLegendKey val="0"/>
          <c:showVal val="0"/>
          <c:showCatName val="0"/>
          <c:showSerName val="0"/>
          <c:showPercent val="0"/>
          <c:showBubbleSize val="0"/>
        </c:dLbls>
        <c:gapWidth val="150"/>
        <c:overlap val="100"/>
        <c:axId val="233147776"/>
        <c:axId val="233305600"/>
      </c:barChart>
      <c:catAx>
        <c:axId val="233147776"/>
        <c:scaling>
          <c:orientation val="minMax"/>
        </c:scaling>
        <c:delete val="0"/>
        <c:axPos val="b"/>
        <c:numFmt formatCode="General" sourceLinked="1"/>
        <c:majorTickMark val="none"/>
        <c:minorTickMark val="none"/>
        <c:tickLblPos val="nextTo"/>
        <c:txPr>
          <a:bodyPr/>
          <a:lstStyle/>
          <a:p>
            <a:pPr>
              <a:defRPr sz="1100" b="1">
                <a:latin typeface="Arial" pitchFamily="34" charset="0"/>
                <a:cs typeface="Arial" pitchFamily="34" charset="0"/>
              </a:defRPr>
            </a:pPr>
            <a:endParaRPr lang="ja-JP"/>
          </a:p>
        </c:txPr>
        <c:crossAx val="233305600"/>
        <c:crosses val="autoZero"/>
        <c:auto val="1"/>
        <c:lblAlgn val="ctr"/>
        <c:lblOffset val="100"/>
        <c:noMultiLvlLbl val="0"/>
      </c:catAx>
      <c:valAx>
        <c:axId val="233305600"/>
        <c:scaling>
          <c:orientation val="minMax"/>
        </c:scaling>
        <c:delete val="0"/>
        <c:axPos val="l"/>
        <c:majorGridlines>
          <c:spPr>
            <a:ln>
              <a:prstDash val="dash"/>
            </a:ln>
          </c:spPr>
        </c:majorGridlines>
        <c:title>
          <c:tx>
            <c:rich>
              <a:bodyPr rot="-5400000" vert="horz"/>
              <a:lstStyle/>
              <a:p>
                <a:pPr>
                  <a:defRPr sz="1100">
                    <a:latin typeface="Arial" pitchFamily="34" charset="0"/>
                    <a:cs typeface="Arial" pitchFamily="34" charset="0"/>
                  </a:defRPr>
                </a:pPr>
                <a:r>
                  <a:rPr lang="ja-JP" altLang="en-US" sz="1100">
                    <a:latin typeface="Arial" pitchFamily="34" charset="0"/>
                    <a:cs typeface="Arial" pitchFamily="34" charset="0"/>
                  </a:rPr>
                  <a:t>一次エネルギー消費量（</a:t>
                </a:r>
                <a:r>
                  <a:rPr lang="en-US" altLang="ja-JP" sz="1100">
                    <a:latin typeface="Arial" pitchFamily="34" charset="0"/>
                    <a:cs typeface="Arial" pitchFamily="34" charset="0"/>
                  </a:rPr>
                  <a:t>PJ</a:t>
                </a:r>
                <a:r>
                  <a:rPr lang="ja-JP" altLang="en-US" sz="1100">
                    <a:latin typeface="Arial" pitchFamily="34" charset="0"/>
                    <a:cs typeface="Arial" pitchFamily="34" charset="0"/>
                  </a:rPr>
                  <a:t>）</a:t>
                </a:r>
              </a:p>
            </c:rich>
          </c:tx>
          <c:overlay val="0"/>
        </c:title>
        <c:numFmt formatCode="General" sourceLinked="1"/>
        <c:majorTickMark val="in"/>
        <c:minorTickMark val="none"/>
        <c:tickLblPos val="nextTo"/>
        <c:txPr>
          <a:bodyPr/>
          <a:lstStyle/>
          <a:p>
            <a:pPr>
              <a:defRPr sz="1100" b="1">
                <a:latin typeface="Arial" pitchFamily="34" charset="0"/>
                <a:cs typeface="Arial" pitchFamily="34" charset="0"/>
              </a:defRPr>
            </a:pPr>
            <a:endParaRPr lang="ja-JP"/>
          </a:p>
        </c:txPr>
        <c:crossAx val="233147776"/>
        <c:crosses val="autoZero"/>
        <c:crossBetween val="between"/>
        <c:majorUnit val="100"/>
      </c:valAx>
      <c:spPr>
        <a:ln>
          <a:solidFill>
            <a:schemeClr val="tx1">
              <a:tint val="75000"/>
              <a:shade val="95000"/>
              <a:satMod val="105000"/>
            </a:schemeClr>
          </a:solidFill>
        </a:ln>
      </c:spPr>
    </c:plotArea>
    <c:legend>
      <c:legendPos val="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Sakurahara</dc:creator>
  <cp:lastModifiedBy>Sakurahara</cp:lastModifiedBy>
  <cp:revision>2</cp:revision>
  <dcterms:created xsi:type="dcterms:W3CDTF">2011-01-07T07:28:00Z</dcterms:created>
  <dcterms:modified xsi:type="dcterms:W3CDTF">2011-01-07T08:49:00Z</dcterms:modified>
</cp:coreProperties>
</file>