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03" w:rsidRPr="008C7703" w:rsidRDefault="008C7703">
      <w:pPr>
        <w:rPr>
          <w:rFonts w:ascii="HGPｺﾞｼｯｸE" w:eastAsia="HGPｺﾞｼｯｸE" w:hAnsi="HGPｺﾞｼｯｸE"/>
          <w:sz w:val="28"/>
          <w:szCs w:val="28"/>
        </w:rPr>
      </w:pPr>
      <w:r w:rsidRPr="008C7703">
        <w:rPr>
          <w:rFonts w:ascii="HGPｺﾞｼｯｸE" w:eastAsia="HGPｺﾞｼｯｸE" w:hAnsi="HGPｺﾞｼｯｸE" w:hint="eastAsia"/>
          <w:sz w:val="28"/>
          <w:szCs w:val="28"/>
        </w:rPr>
        <w:t>ミクロ経済学出題研究(瀬藤宗仁)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5"/>
        <w:gridCol w:w="1435"/>
        <w:gridCol w:w="1435"/>
        <w:gridCol w:w="1435"/>
        <w:gridCol w:w="1435"/>
        <w:gridCol w:w="1345"/>
      </w:tblGrid>
      <w:tr w:rsidR="008C7703" w:rsidRPr="008C7703" w:rsidTr="008C7703">
        <w:trPr>
          <w:trHeight w:val="2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11年度宿題番号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11年度宿題(○＝課題、△＝「やっておいたほうがいい」)問題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10年度テスト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10年度宿題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9年度テスト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11年度テスト予想(数字は出やすさ)</w:t>
            </w:r>
          </w:p>
        </w:tc>
      </w:tr>
      <w:tr w:rsidR="008C7703" w:rsidRPr="008C7703" w:rsidTr="008C7703">
        <w:trPr>
          <w:trHeight w:val="286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8C7703" w:rsidRPr="008C7703" w:rsidTr="008C7703">
        <w:trPr>
          <w:trHeight w:val="286"/>
        </w:trPr>
        <w:tc>
          <w:tcPr>
            <w:tcW w:w="143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○(易)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○(易)</w:t>
            </w:r>
          </w:p>
        </w:tc>
        <w:tc>
          <w:tcPr>
            <w:tcW w:w="1345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5</w:t>
            </w:r>
          </w:p>
        </w:tc>
      </w:tr>
      <w:tr w:rsidR="008C7703" w:rsidRPr="008C7703" w:rsidTr="008C7703">
        <w:trPr>
          <w:trHeight w:val="286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8C7703" w:rsidRPr="008C7703" w:rsidTr="008C7703">
        <w:trPr>
          <w:trHeight w:val="286"/>
        </w:trPr>
        <w:tc>
          <w:tcPr>
            <w:tcW w:w="143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○(易)</w:t>
            </w:r>
          </w:p>
        </w:tc>
        <w:tc>
          <w:tcPr>
            <w:tcW w:w="1345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3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3</w:t>
            </w:r>
          </w:p>
        </w:tc>
      </w:tr>
      <w:tr w:rsidR="008C7703" w:rsidRPr="008C7703" w:rsidTr="008C7703">
        <w:trPr>
          <w:trHeight w:val="286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8C7703" w:rsidRPr="008C7703" w:rsidTr="008C7703">
        <w:trPr>
          <w:trHeight w:val="286"/>
        </w:trPr>
        <w:tc>
          <w:tcPr>
            <w:tcW w:w="143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○(易)</w:t>
            </w:r>
          </w:p>
        </w:tc>
        <w:tc>
          <w:tcPr>
            <w:tcW w:w="1345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3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8C7703" w:rsidRPr="008C7703" w:rsidTr="008C7703">
        <w:trPr>
          <w:trHeight w:val="286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</w:tr>
      <w:tr w:rsidR="008C7703" w:rsidRPr="008C7703" w:rsidTr="008C7703">
        <w:trPr>
          <w:trHeight w:val="286"/>
        </w:trPr>
        <w:tc>
          <w:tcPr>
            <w:tcW w:w="143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single" w:sz="8" w:space="0" w:color="00B050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○(普通)</w:t>
            </w:r>
          </w:p>
        </w:tc>
        <w:tc>
          <w:tcPr>
            <w:tcW w:w="1345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4</w:t>
            </w:r>
          </w:p>
        </w:tc>
      </w:tr>
      <w:tr w:rsidR="008C7703" w:rsidRPr="008C7703" w:rsidTr="008C7703">
        <w:trPr>
          <w:trHeight w:val="286"/>
        </w:trPr>
        <w:tc>
          <w:tcPr>
            <w:tcW w:w="1435" w:type="dxa"/>
            <w:tcBorders>
              <w:top w:val="nil"/>
              <w:left w:val="single" w:sz="8" w:space="0" w:color="00B050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○(普通)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4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3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4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○(難)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</w:tr>
      <w:tr w:rsidR="008C7703" w:rsidRPr="008C7703" w:rsidTr="008C7703">
        <w:trPr>
          <w:trHeight w:val="27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○(普通)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703" w:rsidRPr="008C7703" w:rsidRDefault="008C7703" w:rsidP="008C7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C7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(範囲外)</w:t>
            </w:r>
          </w:p>
        </w:tc>
      </w:tr>
    </w:tbl>
    <w:p w:rsidR="00462B38" w:rsidRDefault="008C7703">
      <w:pPr>
        <w:rPr>
          <w:rFonts w:hint="eastAsia"/>
        </w:rPr>
      </w:pPr>
      <w:r>
        <w:rPr>
          <w:rFonts w:hint="eastAsia"/>
        </w:rPr>
        <w:t>※昨年度は課題の練習問題は</w:t>
      </w:r>
      <w:r>
        <w:rPr>
          <w:rFonts w:hint="eastAsia"/>
        </w:rPr>
        <w:t>31</w:t>
      </w:r>
      <w:r>
        <w:rPr>
          <w:rFonts w:hint="eastAsia"/>
        </w:rPr>
        <w:t>までしか配布されず。</w:t>
      </w:r>
    </w:p>
    <w:p w:rsidR="008C7703" w:rsidRDefault="008C7703">
      <w:pPr>
        <w:rPr>
          <w:rFonts w:hint="eastAsia"/>
        </w:rPr>
      </w:pPr>
      <w:r>
        <w:rPr>
          <w:rFonts w:hint="eastAsia"/>
        </w:rPr>
        <w:t>09</w:t>
      </w:r>
      <w:r>
        <w:rPr>
          <w:rFonts w:hint="eastAsia"/>
        </w:rPr>
        <w:t>年から</w:t>
      </w:r>
      <w:r>
        <w:rPr>
          <w:rFonts w:hint="eastAsia"/>
        </w:rPr>
        <w:t>10</w:t>
      </w:r>
      <w:r>
        <w:rPr>
          <w:rFonts w:hint="eastAsia"/>
        </w:rPr>
        <w:t>年にかけて難化。</w:t>
      </w:r>
      <w:r>
        <w:rPr>
          <w:rFonts w:hint="eastAsia"/>
        </w:rPr>
        <w:t>40</w:t>
      </w:r>
      <w:r>
        <w:rPr>
          <w:rFonts w:hint="eastAsia"/>
        </w:rPr>
        <w:t>は激ムズ</w:t>
      </w:r>
    </w:p>
    <w:p w:rsidR="008C7703" w:rsidRDefault="008C770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章、</w:t>
      </w:r>
      <w:r>
        <w:rPr>
          <w:rFonts w:hint="eastAsia"/>
        </w:rPr>
        <w:t>6</w:t>
      </w:r>
      <w:r>
        <w:rPr>
          <w:rFonts w:hint="eastAsia"/>
        </w:rPr>
        <w:t>章からは毎年一問ずつ出ている。課題問題</w:t>
      </w:r>
      <w:r>
        <w:rPr>
          <w:rFonts w:hint="eastAsia"/>
        </w:rPr>
        <w:t>6</w:t>
      </w:r>
      <w:r>
        <w:rPr>
          <w:rFonts w:hint="eastAsia"/>
        </w:rPr>
        <w:t>は</w:t>
      </w:r>
      <w:r>
        <w:rPr>
          <w:rFonts w:hint="eastAsia"/>
        </w:rPr>
        <w:t>100</w:t>
      </w:r>
      <w:r>
        <w:rPr>
          <w:rFonts w:hint="eastAsia"/>
        </w:rPr>
        <w:t>％出ているといっても過言ではない。</w:t>
      </w:r>
    </w:p>
    <w:p w:rsidR="008C7703" w:rsidRDefault="008C7703">
      <w:pPr>
        <w:rPr>
          <w:rFonts w:hint="eastAsia"/>
        </w:rPr>
      </w:pPr>
      <w:r>
        <w:rPr>
          <w:rFonts w:hint="eastAsia"/>
        </w:rPr>
        <w:t>用語の定義は確認しておくべき</w:t>
      </w:r>
      <w:r>
        <w:rPr>
          <w:rFonts w:hint="eastAsia"/>
        </w:rPr>
        <w:t>(</w:t>
      </w:r>
      <w:r>
        <w:rPr>
          <w:rFonts w:hint="eastAsia"/>
        </w:rPr>
        <w:t>例</w:t>
      </w:r>
      <w:r>
        <w:rPr>
          <w:rFonts w:hint="eastAsia"/>
        </w:rPr>
        <w:t>:</w:t>
      </w:r>
      <w:r>
        <w:rPr>
          <w:rFonts w:hint="eastAsia"/>
        </w:rPr>
        <w:t>エンゲル曲線、ギッフェン財</w:t>
      </w:r>
      <w:r>
        <w:rPr>
          <w:rFonts w:hint="eastAsia"/>
        </w:rPr>
        <w:t>)</w:t>
      </w:r>
    </w:p>
    <w:p w:rsidR="008C7703" w:rsidRDefault="008C7703">
      <w:pPr>
        <w:rPr>
          <w:rFonts w:hint="eastAsia"/>
        </w:rPr>
      </w:pPr>
      <w:r>
        <w:rPr>
          <w:rFonts w:hint="eastAsia"/>
        </w:rPr>
        <w:t>予想が当たったら作者はうれしくて飛び跳ねるらしいです。ご期待ください。</w:t>
      </w:r>
      <w:bookmarkStart w:id="0" w:name="_GoBack"/>
      <w:bookmarkEnd w:id="0"/>
    </w:p>
    <w:p w:rsidR="008C7703" w:rsidRDefault="008C7703"/>
    <w:sectPr w:rsidR="008C7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91"/>
    <w:rsid w:val="008C7703"/>
    <w:rsid w:val="00B23A4B"/>
    <w:rsid w:val="00F70E91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</dc:creator>
  <cp:lastModifiedBy>tatsuya</cp:lastModifiedBy>
  <cp:revision>1</cp:revision>
  <dcterms:created xsi:type="dcterms:W3CDTF">2012-01-27T16:53:00Z</dcterms:created>
  <dcterms:modified xsi:type="dcterms:W3CDTF">2012-01-27T17:10:00Z</dcterms:modified>
</cp:coreProperties>
</file>