
<file path=[Content_Types].xml><?xml version="1.0" encoding="utf-8"?>
<Types xmlns="http://schemas.openxmlformats.org/package/2006/content-types">
  <Override PartName="/word/charts/chart4.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drawings/drawing6.xml" ContentType="application/vnd.openxmlformats-officedocument.drawingml.chartshapes+xml"/>
  <Default Extension="emf" ContentType="image/x-emf"/>
  <Override PartName="/docProps/app.xml" ContentType="application/vnd.openxmlformats-officedocument.extended-properties+xml"/>
  <Override PartName="/customXml/itemProps1.xml" ContentType="application/vnd.openxmlformats-officedocument.customXmlProperties+xml"/>
  <Override PartName="/word/charts/chart12.xml" ContentType="application/vnd.openxmlformats-officedocument.drawingml.chart+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Override PartName="/word/drawings/drawing7.xml" ContentType="application/vnd.openxmlformats-officedocument.drawingml.chartshapes+xml"/>
  <Override PartName="/word/comments.xml" ContentType="application/vnd.openxmlformats-officedocument.wordprocessingml.comments+xml"/>
  <Override PartName="/word/charts/chart3.xml" ContentType="application/vnd.openxmlformats-officedocument.drawingml.chart+xml"/>
  <Override PartName="/word/drawings/drawing3.xml" ContentType="application/vnd.openxmlformats-officedocument.drawingml.chartshapes+xml"/>
  <Override PartName="/word/charts/chart2.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10.xml" ContentType="application/vnd.openxmlformats-officedocument.drawingml.chart+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charts/chart7.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numbering.xml" ContentType="application/vnd.openxmlformats-officedocument.wordprocessingml.numbering+xml"/>
  <Override PartName="/word/drawings/drawing2.xml" ContentType="application/vnd.openxmlformats-officedocument.drawingml.chartshapes+xml"/>
  <Override PartName="/word/charts/chart11.xml" ContentType="application/vnd.openxmlformats-officedocument.drawingml.chart+xml"/>
  <Override PartName="/word/drawings/drawing4.xml" ContentType="application/vnd.openxmlformats-officedocument.drawingml.chartshapes+xml"/>
  <Override PartName="/word/charts/chart14.xml" ContentType="application/vnd.openxmlformats-officedocument.drawingml.chart+xml"/>
  <Override PartName="/word/theme/theme1.xml" ContentType="application/vnd.openxmlformats-officedocument.theme+xml"/>
  <Override PartName="/word/endnotes.xml" ContentType="application/vnd.openxmlformats-officedocument.wordprocessingml.endnotes+xml"/>
  <Override PartName="/word/charts/chart6.xml" ContentType="application/vnd.openxmlformats-officedocument.drawingml.chart+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6BF5" w:rsidRPr="00E5368C" w:rsidRDefault="009D6BF5" w:rsidP="00573AF0">
      <w:pPr>
        <w:pStyle w:val="ac"/>
        <w:rPr>
          <w:b/>
          <w:kern w:val="0"/>
        </w:rPr>
      </w:pPr>
      <w:r w:rsidRPr="00E5368C">
        <w:rPr>
          <w:rFonts w:hint="eastAsia"/>
          <w:b/>
          <w:kern w:val="0"/>
        </w:rPr>
        <w:t>第</w:t>
      </w:r>
      <w:r w:rsidRPr="00E5368C">
        <w:rPr>
          <w:rFonts w:hint="eastAsia"/>
          <w:b/>
          <w:kern w:val="0"/>
        </w:rPr>
        <w:t>2</w:t>
      </w:r>
      <w:r w:rsidRPr="00E5368C">
        <w:rPr>
          <w:rFonts w:hint="eastAsia"/>
          <w:b/>
          <w:kern w:val="0"/>
        </w:rPr>
        <w:t>節　主要産業別にみる関西の特色</w:t>
      </w:r>
    </w:p>
    <w:p w:rsidR="009D6BF5" w:rsidRPr="00573AF0" w:rsidRDefault="009D6BF5" w:rsidP="00573AF0">
      <w:pPr>
        <w:pStyle w:val="ac"/>
        <w:rPr>
          <w:kern w:val="0"/>
        </w:rPr>
      </w:pPr>
      <w:r w:rsidRPr="00573AF0">
        <w:rPr>
          <w:kern w:val="0"/>
          <w:sz w:val="26"/>
          <w:szCs w:val="26"/>
        </w:rPr>
        <w:br/>
      </w:r>
      <w:r w:rsidRPr="00573AF0">
        <w:rPr>
          <w:kern w:val="0"/>
        </w:rPr>
        <w:t xml:space="preserve">  </w:t>
      </w:r>
      <w:r w:rsidRPr="00573AF0">
        <w:rPr>
          <w:kern w:val="0"/>
        </w:rPr>
        <w:t>第</w:t>
      </w:r>
      <w:r w:rsidRPr="00573AF0">
        <w:rPr>
          <w:kern w:val="0"/>
        </w:rPr>
        <w:t>1</w:t>
      </w:r>
      <w:r w:rsidRPr="00573AF0">
        <w:rPr>
          <w:rFonts w:hint="eastAsia"/>
          <w:kern w:val="0"/>
        </w:rPr>
        <w:t>節</w:t>
      </w:r>
      <w:r w:rsidRPr="00573AF0">
        <w:rPr>
          <w:kern w:val="0"/>
        </w:rPr>
        <w:t>では関西</w:t>
      </w:r>
      <w:r w:rsidRPr="00573AF0">
        <w:rPr>
          <w:rFonts w:hint="eastAsia"/>
          <w:kern w:val="0"/>
        </w:rPr>
        <w:t>地方と関東地方、中部地方の産業構造の相違点</w:t>
      </w:r>
      <w:r w:rsidRPr="00573AF0">
        <w:rPr>
          <w:kern w:val="0"/>
        </w:rPr>
        <w:t>という表面的な事柄から関西経済の衰退を検証してみた。</w:t>
      </w:r>
      <w:r w:rsidRPr="00573AF0">
        <w:rPr>
          <w:rFonts w:hint="eastAsia"/>
          <w:kern w:val="0"/>
        </w:rPr>
        <w:t>産業構造に含まれる各産業のシェアの変動や、労働人口、地域の人口推移などの要素が密接に関係しており、それが関西産業の衰退につながっているのではないかという考えを持つことができた。そしてこの節では、具体的な数値を用いて関西産業の強みと弱みを導き出し、衰退していると言われている関西産業を分析してみようと思う</w:t>
      </w:r>
      <w:r w:rsidRPr="00573AF0">
        <w:rPr>
          <w:kern w:val="0"/>
        </w:rPr>
        <w:t>。</w:t>
      </w:r>
    </w:p>
    <w:p w:rsidR="009D6BF5" w:rsidRPr="00573AF0" w:rsidRDefault="009D6BF5" w:rsidP="00573AF0">
      <w:pPr>
        <w:pStyle w:val="ac"/>
        <w:rPr>
          <w:kern w:val="0"/>
          <w:szCs w:val="21"/>
        </w:rPr>
      </w:pPr>
    </w:p>
    <w:p w:rsidR="009D6BF5" w:rsidRPr="00E5368C" w:rsidRDefault="0053622B" w:rsidP="00573AF0">
      <w:pPr>
        <w:pStyle w:val="ac"/>
        <w:rPr>
          <w:b/>
          <w:kern w:val="0"/>
          <w:szCs w:val="21"/>
        </w:rPr>
      </w:pPr>
      <w:r w:rsidRPr="00E5368C">
        <w:rPr>
          <w:rFonts w:hint="eastAsia"/>
          <w:b/>
          <w:kern w:val="0"/>
          <w:szCs w:val="21"/>
        </w:rPr>
        <w:t>1</w:t>
      </w:r>
      <w:r w:rsidR="001B4F90">
        <w:rPr>
          <w:rFonts w:hint="eastAsia"/>
          <w:b/>
          <w:kern w:val="0"/>
          <w:szCs w:val="21"/>
        </w:rPr>
        <w:t>）</w:t>
      </w:r>
      <w:r w:rsidR="009D6BF5" w:rsidRPr="00E5368C">
        <w:rPr>
          <w:rFonts w:hint="eastAsia"/>
          <w:b/>
          <w:kern w:val="0"/>
          <w:szCs w:val="21"/>
        </w:rPr>
        <w:t>シェアの高い業種から見る関西</w:t>
      </w:r>
    </w:p>
    <w:p w:rsidR="00E5368C" w:rsidRPr="001B4F90" w:rsidRDefault="00E5368C" w:rsidP="00573AF0">
      <w:pPr>
        <w:pStyle w:val="ac"/>
        <w:rPr>
          <w:b/>
          <w:kern w:val="0"/>
          <w:szCs w:val="21"/>
        </w:rPr>
      </w:pPr>
    </w:p>
    <w:p w:rsidR="009D6BF5" w:rsidRPr="00E5368C" w:rsidRDefault="001B4F90" w:rsidP="00573AF0">
      <w:pPr>
        <w:pStyle w:val="ac"/>
        <w:rPr>
          <w:kern w:val="0"/>
          <w:szCs w:val="21"/>
        </w:rPr>
      </w:pPr>
      <w:r>
        <w:rPr>
          <w:rFonts w:hint="eastAsia"/>
          <w:kern w:val="0"/>
          <w:szCs w:val="21"/>
        </w:rPr>
        <w:t>（１）</w:t>
      </w:r>
      <w:r w:rsidR="00573AF0" w:rsidRPr="00E5368C">
        <w:rPr>
          <w:rFonts w:hint="eastAsia"/>
          <w:kern w:val="0"/>
          <w:szCs w:val="21"/>
        </w:rPr>
        <w:t xml:space="preserve">　</w:t>
      </w:r>
      <w:r w:rsidR="009D6BF5" w:rsidRPr="00E5368C">
        <w:rPr>
          <w:rFonts w:hint="eastAsia"/>
          <w:kern w:val="0"/>
          <w:szCs w:val="21"/>
        </w:rPr>
        <w:t>特化係数から見る関西</w:t>
      </w:r>
    </w:p>
    <w:p w:rsidR="00573AF0" w:rsidRDefault="009D6BF5" w:rsidP="00573AF0">
      <w:pPr>
        <w:pStyle w:val="ac"/>
        <w:rPr>
          <w:kern w:val="0"/>
        </w:rPr>
      </w:pPr>
      <w:r w:rsidRPr="00573AF0">
        <w:rPr>
          <w:kern w:val="0"/>
        </w:rPr>
        <w:t xml:space="preserve">　</w:t>
      </w:r>
    </w:p>
    <w:p w:rsidR="0087592B" w:rsidRPr="008F030D" w:rsidRDefault="009D6BF5" w:rsidP="00573AF0">
      <w:pPr>
        <w:pStyle w:val="ac"/>
        <w:ind w:firstLineChars="100" w:firstLine="210"/>
        <w:rPr>
          <w:kern w:val="0"/>
        </w:rPr>
      </w:pPr>
      <w:r w:rsidRPr="00573AF0">
        <w:rPr>
          <w:kern w:val="0"/>
        </w:rPr>
        <w:t>今回は平成</w:t>
      </w:r>
      <w:r w:rsidRPr="00573AF0">
        <w:rPr>
          <w:kern w:val="0"/>
        </w:rPr>
        <w:t>16</w:t>
      </w:r>
      <w:r w:rsidRPr="00573AF0">
        <w:rPr>
          <w:kern w:val="0"/>
        </w:rPr>
        <w:t>年度の県民経済データを</w:t>
      </w:r>
      <w:r w:rsidRPr="00573AF0">
        <w:rPr>
          <w:rFonts w:hint="eastAsia"/>
          <w:kern w:val="0"/>
        </w:rPr>
        <w:t>ベースに用いた</w:t>
      </w:r>
      <w:r w:rsidRPr="00340F19">
        <w:rPr>
          <w:rFonts w:hint="eastAsia"/>
          <w:color w:val="FF0000"/>
          <w:kern w:val="0"/>
        </w:rPr>
        <w:t>図</w:t>
      </w:r>
      <w:r w:rsidRPr="00340F19">
        <w:rPr>
          <w:rFonts w:hint="eastAsia"/>
          <w:color w:val="FF0000"/>
          <w:kern w:val="0"/>
        </w:rPr>
        <w:t>2-a</w:t>
      </w:r>
      <w:r w:rsidRPr="00573AF0">
        <w:rPr>
          <w:rFonts w:hint="eastAsia"/>
          <w:kern w:val="0"/>
        </w:rPr>
        <w:t>を使用する。</w:t>
      </w:r>
      <w:r w:rsidRPr="00573AF0">
        <w:rPr>
          <w:kern w:val="0"/>
        </w:rPr>
        <w:t>まず</w:t>
      </w:r>
      <w:r w:rsidRPr="00340F19">
        <w:rPr>
          <w:color w:val="FF0000"/>
          <w:kern w:val="0"/>
        </w:rPr>
        <w:t>図</w:t>
      </w:r>
      <w:r w:rsidRPr="00340F19">
        <w:rPr>
          <w:rFonts w:hint="eastAsia"/>
          <w:color w:val="FF0000"/>
          <w:kern w:val="0"/>
        </w:rPr>
        <w:t>2-b</w:t>
      </w:r>
      <w:r w:rsidRPr="00573AF0">
        <w:rPr>
          <w:kern w:val="0"/>
        </w:rPr>
        <w:t>のように、特化係数という（各地域における各業種が全国に占める割合）</w:t>
      </w:r>
      <w:r w:rsidRPr="00573AF0">
        <w:rPr>
          <w:kern w:val="0"/>
        </w:rPr>
        <w:t>÷</w:t>
      </w:r>
      <w:r w:rsidRPr="00573AF0">
        <w:rPr>
          <w:kern w:val="0"/>
        </w:rPr>
        <w:t>（各地域の県内総生産が全国に占める割合）で算出したデータをもとに現在の関西経済の特徴を述べてみる。</w:t>
      </w:r>
      <w:r w:rsidRPr="00573AF0">
        <w:rPr>
          <w:kern w:val="0"/>
        </w:rPr>
        <w:br/>
      </w:r>
      <w:r w:rsidRPr="00573AF0">
        <w:rPr>
          <w:kern w:val="0"/>
        </w:rPr>
        <w:t xml:space="preserve">　</w:t>
      </w:r>
    </w:p>
    <w:p w:rsidR="009D6BF5" w:rsidRPr="00573AF0" w:rsidRDefault="009D6BF5" w:rsidP="00573AF0">
      <w:pPr>
        <w:pStyle w:val="ac"/>
        <w:ind w:firstLineChars="100" w:firstLine="210"/>
        <w:rPr>
          <w:kern w:val="0"/>
        </w:rPr>
      </w:pPr>
      <w:r w:rsidRPr="00573AF0">
        <w:rPr>
          <w:rFonts w:hint="eastAsia"/>
          <w:kern w:val="0"/>
        </w:rPr>
        <w:t>特化係数の</w:t>
      </w:r>
      <w:r w:rsidRPr="00573AF0">
        <w:rPr>
          <w:kern w:val="0"/>
        </w:rPr>
        <w:t>１つの例をあ</w:t>
      </w:r>
      <w:r w:rsidRPr="00573AF0">
        <w:rPr>
          <w:rFonts w:hint="eastAsia"/>
          <w:kern w:val="0"/>
        </w:rPr>
        <w:t>げてみる。</w:t>
      </w:r>
      <w:r w:rsidRPr="00573AF0">
        <w:rPr>
          <w:kern w:val="0"/>
        </w:rPr>
        <w:t>関西</w:t>
      </w:r>
      <w:r w:rsidRPr="00573AF0">
        <w:rPr>
          <w:kern w:val="0"/>
        </w:rPr>
        <w:t>2</w:t>
      </w:r>
      <w:r w:rsidRPr="00573AF0">
        <w:rPr>
          <w:kern w:val="0"/>
        </w:rPr>
        <w:t>府</w:t>
      </w:r>
      <w:r w:rsidRPr="00573AF0">
        <w:rPr>
          <w:kern w:val="0"/>
        </w:rPr>
        <w:t>5</w:t>
      </w:r>
      <w:r w:rsidRPr="00573AF0">
        <w:rPr>
          <w:kern w:val="0"/>
        </w:rPr>
        <w:t>県の製造業の中の金属製品が全国に占める割合は、</w:t>
      </w:r>
      <w:r w:rsidRPr="00573AF0">
        <w:rPr>
          <w:kern w:val="0"/>
        </w:rPr>
        <w:t>1</w:t>
      </w:r>
      <w:r w:rsidRPr="00573AF0">
        <w:rPr>
          <w:rFonts w:hint="eastAsia"/>
          <w:kern w:val="0"/>
        </w:rPr>
        <w:t>,</w:t>
      </w:r>
      <w:r w:rsidRPr="00573AF0">
        <w:rPr>
          <w:kern w:val="0"/>
        </w:rPr>
        <w:t>381</w:t>
      </w:r>
      <w:r w:rsidRPr="00573AF0">
        <w:rPr>
          <w:rFonts w:hint="eastAsia"/>
          <w:kern w:val="0"/>
        </w:rPr>
        <w:t>,</w:t>
      </w:r>
      <w:r w:rsidRPr="00573AF0">
        <w:rPr>
          <w:kern w:val="0"/>
        </w:rPr>
        <w:t>508</w:t>
      </w:r>
      <w:r w:rsidRPr="00573AF0">
        <w:rPr>
          <w:kern w:val="0"/>
        </w:rPr>
        <w:t>（</w:t>
      </w:r>
      <w:r w:rsidRPr="00573AF0">
        <w:rPr>
          <w:kern w:val="0"/>
        </w:rPr>
        <w:t>100</w:t>
      </w:r>
      <w:r w:rsidRPr="00573AF0">
        <w:rPr>
          <w:kern w:val="0"/>
        </w:rPr>
        <w:t>万円：関西における金属製品の域内総生産）</w:t>
      </w:r>
      <w:r w:rsidRPr="00573AF0">
        <w:rPr>
          <w:kern w:val="0"/>
        </w:rPr>
        <w:t>÷6</w:t>
      </w:r>
      <w:r w:rsidRPr="00573AF0">
        <w:rPr>
          <w:rFonts w:hint="eastAsia"/>
          <w:kern w:val="0"/>
        </w:rPr>
        <w:t>,</w:t>
      </w:r>
      <w:r w:rsidRPr="00573AF0">
        <w:rPr>
          <w:kern w:val="0"/>
        </w:rPr>
        <w:t>070</w:t>
      </w:r>
      <w:r w:rsidRPr="00573AF0">
        <w:rPr>
          <w:rFonts w:hint="eastAsia"/>
          <w:kern w:val="0"/>
        </w:rPr>
        <w:t>,</w:t>
      </w:r>
      <w:r w:rsidRPr="00573AF0">
        <w:rPr>
          <w:kern w:val="0"/>
        </w:rPr>
        <w:t>164</w:t>
      </w:r>
      <w:r w:rsidRPr="00573AF0">
        <w:rPr>
          <w:kern w:val="0"/>
        </w:rPr>
        <w:t>（</w:t>
      </w:r>
      <w:r w:rsidRPr="00573AF0">
        <w:rPr>
          <w:kern w:val="0"/>
        </w:rPr>
        <w:t>100</w:t>
      </w:r>
      <w:r w:rsidRPr="00573AF0">
        <w:rPr>
          <w:kern w:val="0"/>
        </w:rPr>
        <w:t>万円：金属製品の国内総生産）＝</w:t>
      </w:r>
      <w:r w:rsidRPr="00573AF0">
        <w:rPr>
          <w:kern w:val="0"/>
        </w:rPr>
        <w:t>0.228</w:t>
      </w:r>
      <w:r w:rsidRPr="00573AF0">
        <w:rPr>
          <w:kern w:val="0"/>
        </w:rPr>
        <w:t>（関西の製造業の金属製品が全国に占める割合）。　一方、関西地域の関西域内総生産が全国に占める割合は、</w:t>
      </w:r>
      <w:r w:rsidRPr="00573AF0">
        <w:rPr>
          <w:kern w:val="0"/>
        </w:rPr>
        <w:t>88</w:t>
      </w:r>
      <w:r w:rsidRPr="00573AF0">
        <w:rPr>
          <w:rFonts w:hint="eastAsia"/>
          <w:kern w:val="0"/>
        </w:rPr>
        <w:t>,</w:t>
      </w:r>
      <w:r w:rsidRPr="00573AF0">
        <w:rPr>
          <w:kern w:val="0"/>
        </w:rPr>
        <w:t>770</w:t>
      </w:r>
      <w:r w:rsidRPr="00573AF0">
        <w:rPr>
          <w:rFonts w:hint="eastAsia"/>
          <w:kern w:val="0"/>
        </w:rPr>
        <w:t>,</w:t>
      </w:r>
      <w:r w:rsidRPr="00573AF0">
        <w:rPr>
          <w:kern w:val="0"/>
        </w:rPr>
        <w:t>868</w:t>
      </w:r>
      <w:r w:rsidRPr="00573AF0">
        <w:rPr>
          <w:kern w:val="0"/>
        </w:rPr>
        <w:t>（</w:t>
      </w:r>
      <w:r w:rsidRPr="00573AF0">
        <w:rPr>
          <w:kern w:val="0"/>
        </w:rPr>
        <w:t>100</w:t>
      </w:r>
      <w:r w:rsidRPr="00573AF0">
        <w:rPr>
          <w:kern w:val="0"/>
        </w:rPr>
        <w:t>万円：関西の域内総生産）</w:t>
      </w:r>
      <w:r w:rsidRPr="00573AF0">
        <w:rPr>
          <w:kern w:val="0"/>
        </w:rPr>
        <w:t>÷539</w:t>
      </w:r>
      <w:r w:rsidRPr="00573AF0">
        <w:rPr>
          <w:rFonts w:hint="eastAsia"/>
          <w:kern w:val="0"/>
        </w:rPr>
        <w:t>,</w:t>
      </w:r>
      <w:r w:rsidRPr="00573AF0">
        <w:rPr>
          <w:kern w:val="0"/>
        </w:rPr>
        <w:t>864</w:t>
      </w:r>
      <w:r w:rsidRPr="00573AF0">
        <w:rPr>
          <w:rFonts w:hint="eastAsia"/>
          <w:kern w:val="0"/>
        </w:rPr>
        <w:t>,</w:t>
      </w:r>
      <w:r w:rsidRPr="00573AF0">
        <w:rPr>
          <w:kern w:val="0"/>
        </w:rPr>
        <w:t>821</w:t>
      </w:r>
      <w:r w:rsidRPr="00573AF0">
        <w:rPr>
          <w:kern w:val="0"/>
        </w:rPr>
        <w:t>（</w:t>
      </w:r>
      <w:r w:rsidRPr="00573AF0">
        <w:rPr>
          <w:kern w:val="0"/>
        </w:rPr>
        <w:t>100</w:t>
      </w:r>
      <w:r w:rsidRPr="00573AF0">
        <w:rPr>
          <w:kern w:val="0"/>
        </w:rPr>
        <w:t>万円：ＧＤＰ）＝</w:t>
      </w:r>
      <w:r w:rsidRPr="00573AF0">
        <w:rPr>
          <w:kern w:val="0"/>
        </w:rPr>
        <w:t>0.164</w:t>
      </w:r>
      <w:r w:rsidRPr="00573AF0">
        <w:rPr>
          <w:kern w:val="0"/>
        </w:rPr>
        <w:t>。さらにこうやって算出したデータをこのように以下のように計算することで特化係数を求めることができる。</w:t>
      </w:r>
      <w:r w:rsidRPr="00573AF0">
        <w:rPr>
          <w:kern w:val="0"/>
        </w:rPr>
        <w:br/>
      </w:r>
      <w:r w:rsidRPr="00573AF0">
        <w:rPr>
          <w:kern w:val="0"/>
        </w:rPr>
        <w:br/>
      </w:r>
      <w:r w:rsidRPr="00573AF0">
        <w:rPr>
          <w:kern w:val="0"/>
        </w:rPr>
        <w:t>（関西地方における金属製品が全国に占める割合：</w:t>
      </w:r>
      <w:r w:rsidRPr="00573AF0">
        <w:rPr>
          <w:kern w:val="0"/>
        </w:rPr>
        <w:t>0.228</w:t>
      </w:r>
      <w:r w:rsidRPr="00573AF0">
        <w:rPr>
          <w:kern w:val="0"/>
        </w:rPr>
        <w:t>）</w:t>
      </w:r>
      <w:r w:rsidRPr="00573AF0">
        <w:rPr>
          <w:kern w:val="0"/>
        </w:rPr>
        <w:t>÷</w:t>
      </w:r>
      <w:r w:rsidRPr="00573AF0">
        <w:rPr>
          <w:kern w:val="0"/>
        </w:rPr>
        <w:t>（関西地方の域内総生産が全国に占める割合：</w:t>
      </w:r>
      <w:r w:rsidRPr="00573AF0">
        <w:rPr>
          <w:kern w:val="0"/>
        </w:rPr>
        <w:t>0.164</w:t>
      </w:r>
      <w:r w:rsidRPr="00573AF0">
        <w:rPr>
          <w:kern w:val="0"/>
        </w:rPr>
        <w:t>）</w:t>
      </w:r>
      <w:r w:rsidRPr="00573AF0">
        <w:rPr>
          <w:kern w:val="0"/>
        </w:rPr>
        <w:t>=1.384</w:t>
      </w:r>
      <w:r w:rsidRPr="00573AF0">
        <w:rPr>
          <w:kern w:val="0"/>
        </w:rPr>
        <w:t>（</w:t>
      </w:r>
      <w:r w:rsidRPr="00573AF0">
        <w:rPr>
          <w:rFonts w:hint="eastAsia"/>
          <w:kern w:val="0"/>
        </w:rPr>
        <w:t>関西の金属製品における</w:t>
      </w:r>
      <w:r w:rsidRPr="00573AF0">
        <w:rPr>
          <w:kern w:val="0"/>
        </w:rPr>
        <w:t>特化係数）</w:t>
      </w:r>
      <w:r w:rsidRPr="00573AF0">
        <w:rPr>
          <w:kern w:val="0"/>
        </w:rPr>
        <w:br/>
      </w:r>
      <w:r w:rsidRPr="00573AF0">
        <w:rPr>
          <w:kern w:val="0"/>
        </w:rPr>
        <w:br/>
      </w:r>
      <w:r w:rsidRPr="00573AF0">
        <w:rPr>
          <w:kern w:val="0"/>
        </w:rPr>
        <w:t xml:space="preserve">　域内におけるその産業の割合が、全国のそれにおける割合と一致した場合、特化係数は１となるため、この関西における製造業の金属製品の特化係数（</w:t>
      </w:r>
      <w:r w:rsidRPr="00573AF0">
        <w:rPr>
          <w:kern w:val="0"/>
        </w:rPr>
        <w:t>1.384</w:t>
      </w:r>
      <w:r w:rsidRPr="00573AF0">
        <w:rPr>
          <w:kern w:val="0"/>
        </w:rPr>
        <w:t>）は全国の平均に比べ高</w:t>
      </w:r>
      <w:r w:rsidRPr="00573AF0">
        <w:rPr>
          <w:rFonts w:hint="eastAsia"/>
          <w:kern w:val="0"/>
        </w:rPr>
        <w:t>く</w:t>
      </w:r>
      <w:r w:rsidRPr="00573AF0">
        <w:rPr>
          <w:kern w:val="0"/>
        </w:rPr>
        <w:t>、つまり特化しているといえる。このように</w:t>
      </w:r>
      <w:r w:rsidRPr="00573AF0">
        <w:rPr>
          <w:rFonts w:hint="eastAsia"/>
          <w:kern w:val="0"/>
        </w:rPr>
        <w:t>関西における各産業の特化係数</w:t>
      </w:r>
      <w:r w:rsidRPr="00573AF0">
        <w:rPr>
          <w:kern w:val="0"/>
        </w:rPr>
        <w:t>を参照した場合、関西地方で特化しているといえるのは特化係数が</w:t>
      </w:r>
      <w:r w:rsidRPr="00573AF0">
        <w:rPr>
          <w:kern w:val="0"/>
        </w:rPr>
        <w:t>1.10</w:t>
      </w:r>
      <w:r w:rsidRPr="00573AF0">
        <w:rPr>
          <w:kern w:val="0"/>
        </w:rPr>
        <w:t>を超える業種と考え</w:t>
      </w:r>
      <w:r w:rsidRPr="00573AF0">
        <w:rPr>
          <w:rFonts w:hint="eastAsia"/>
          <w:kern w:val="0"/>
        </w:rPr>
        <w:t>ると</w:t>
      </w:r>
      <w:r w:rsidRPr="00573AF0">
        <w:rPr>
          <w:kern w:val="0"/>
        </w:rPr>
        <w:t>、製造業でいえば繊維（</w:t>
      </w:r>
      <w:r w:rsidRPr="00573AF0">
        <w:rPr>
          <w:kern w:val="0"/>
        </w:rPr>
        <w:t>2.245</w:t>
      </w:r>
      <w:r w:rsidRPr="00573AF0">
        <w:rPr>
          <w:kern w:val="0"/>
        </w:rPr>
        <w:t>）、化学（</w:t>
      </w:r>
      <w:r w:rsidRPr="00573AF0">
        <w:rPr>
          <w:kern w:val="0"/>
        </w:rPr>
        <w:t>1.297</w:t>
      </w:r>
      <w:r w:rsidRPr="00573AF0">
        <w:rPr>
          <w:kern w:val="0"/>
        </w:rPr>
        <w:t>）、金属製品</w:t>
      </w:r>
      <w:r w:rsidRPr="00573AF0">
        <w:rPr>
          <w:kern w:val="0"/>
        </w:rPr>
        <w:t>(1.384)</w:t>
      </w:r>
      <w:r w:rsidRPr="00573AF0">
        <w:rPr>
          <w:kern w:val="0"/>
        </w:rPr>
        <w:t>、一般機械（</w:t>
      </w:r>
      <w:r w:rsidRPr="00573AF0">
        <w:rPr>
          <w:kern w:val="0"/>
        </w:rPr>
        <w:t>1.373</w:t>
      </w:r>
      <w:r w:rsidRPr="00573AF0">
        <w:rPr>
          <w:kern w:val="0"/>
        </w:rPr>
        <w:t>）、あと電気・ガス・水道業（</w:t>
      </w:r>
      <w:r w:rsidRPr="00573AF0">
        <w:rPr>
          <w:kern w:val="0"/>
        </w:rPr>
        <w:t>1.167</w:t>
      </w:r>
      <w:r w:rsidRPr="00573AF0">
        <w:rPr>
          <w:kern w:val="0"/>
        </w:rPr>
        <w:t>）が挙げられる。主に製造業で大きな強みを持っているように見える。</w:t>
      </w:r>
      <w:r w:rsidRPr="00573AF0">
        <w:rPr>
          <w:rFonts w:hint="eastAsia"/>
          <w:kern w:val="0"/>
        </w:rPr>
        <w:t>特にこれらの産業では、関西に本社を置いている企業が多く存在し、関西を地盤としていることが分かる。</w:t>
      </w:r>
      <w:r w:rsidRPr="00573AF0">
        <w:rPr>
          <w:kern w:val="0"/>
        </w:rPr>
        <w:t>しかし、関西が特化しているとあげられる</w:t>
      </w:r>
      <w:r w:rsidRPr="00573AF0">
        <w:rPr>
          <w:rFonts w:hint="eastAsia"/>
          <w:kern w:val="0"/>
        </w:rPr>
        <w:t>これら</w:t>
      </w:r>
      <w:r w:rsidRPr="00573AF0">
        <w:rPr>
          <w:kern w:val="0"/>
        </w:rPr>
        <w:t>分野は規模が小さいのである。繊維は全国の規模が</w:t>
      </w:r>
      <w:r w:rsidRPr="00573AF0">
        <w:rPr>
          <w:kern w:val="0"/>
        </w:rPr>
        <w:t>1</w:t>
      </w:r>
      <w:r w:rsidRPr="00573AF0">
        <w:rPr>
          <w:kern w:val="0"/>
        </w:rPr>
        <w:t>兆円程度、化学は</w:t>
      </w:r>
      <w:r w:rsidRPr="00573AF0">
        <w:rPr>
          <w:kern w:val="0"/>
        </w:rPr>
        <w:t>9</w:t>
      </w:r>
      <w:r w:rsidRPr="00573AF0">
        <w:rPr>
          <w:kern w:val="0"/>
        </w:rPr>
        <w:t>兆円、金属製品</w:t>
      </w:r>
      <w:r w:rsidRPr="00573AF0">
        <w:rPr>
          <w:kern w:val="0"/>
        </w:rPr>
        <w:t>6</w:t>
      </w:r>
      <w:r w:rsidRPr="00573AF0">
        <w:rPr>
          <w:kern w:val="0"/>
        </w:rPr>
        <w:t>兆円、一般機械</w:t>
      </w:r>
      <w:r w:rsidRPr="00573AF0">
        <w:rPr>
          <w:kern w:val="0"/>
        </w:rPr>
        <w:t>11</w:t>
      </w:r>
      <w:r w:rsidRPr="00573AF0">
        <w:rPr>
          <w:kern w:val="0"/>
        </w:rPr>
        <w:t>．</w:t>
      </w:r>
      <w:r w:rsidRPr="00573AF0">
        <w:rPr>
          <w:kern w:val="0"/>
        </w:rPr>
        <w:t>7</w:t>
      </w:r>
      <w:r w:rsidRPr="00573AF0">
        <w:rPr>
          <w:kern w:val="0"/>
        </w:rPr>
        <w:t>兆円、電気・ガス・水道業</w:t>
      </w:r>
      <w:r w:rsidRPr="00573AF0">
        <w:rPr>
          <w:kern w:val="0"/>
        </w:rPr>
        <w:t>15</w:t>
      </w:r>
      <w:r w:rsidRPr="00573AF0">
        <w:rPr>
          <w:kern w:val="0"/>
        </w:rPr>
        <w:t>．</w:t>
      </w:r>
      <w:r w:rsidRPr="00573AF0">
        <w:rPr>
          <w:kern w:val="0"/>
        </w:rPr>
        <w:t>7</w:t>
      </w:r>
      <w:r w:rsidRPr="00573AF0">
        <w:rPr>
          <w:kern w:val="0"/>
        </w:rPr>
        <w:t>兆円である。</w:t>
      </w:r>
      <w:r w:rsidRPr="00573AF0">
        <w:rPr>
          <w:rFonts w:hint="eastAsia"/>
          <w:kern w:val="0"/>
        </w:rPr>
        <w:t>この産業の規模が小さいという主張を、他の地域の特化している産業と比較することで証明してみる。</w:t>
      </w:r>
      <w:r w:rsidRPr="00573AF0">
        <w:rPr>
          <w:kern w:val="0"/>
        </w:rPr>
        <w:t>関東圏で特化している卸売業（特化係数</w:t>
      </w:r>
      <w:r w:rsidRPr="00573AF0">
        <w:rPr>
          <w:kern w:val="0"/>
        </w:rPr>
        <w:t>1.129</w:t>
      </w:r>
      <w:r w:rsidRPr="00573AF0">
        <w:rPr>
          <w:kern w:val="0"/>
        </w:rPr>
        <w:t>）は</w:t>
      </w:r>
      <w:r w:rsidRPr="00573AF0">
        <w:rPr>
          <w:rFonts w:hint="eastAsia"/>
          <w:kern w:val="0"/>
        </w:rPr>
        <w:t>その規模が</w:t>
      </w:r>
      <w:r w:rsidRPr="00573AF0">
        <w:rPr>
          <w:kern w:val="0"/>
        </w:rPr>
        <w:t>73</w:t>
      </w:r>
      <w:r w:rsidRPr="00573AF0">
        <w:rPr>
          <w:kern w:val="0"/>
        </w:rPr>
        <w:t>兆円、金融保険業（</w:t>
      </w:r>
      <w:r w:rsidRPr="00573AF0">
        <w:rPr>
          <w:kern w:val="0"/>
        </w:rPr>
        <w:t>1.346</w:t>
      </w:r>
      <w:r w:rsidRPr="00573AF0">
        <w:rPr>
          <w:kern w:val="0"/>
        </w:rPr>
        <w:t>）は</w:t>
      </w:r>
      <w:r w:rsidRPr="00573AF0">
        <w:rPr>
          <w:rFonts w:hint="eastAsia"/>
          <w:kern w:val="0"/>
        </w:rPr>
        <w:t>33.7</w:t>
      </w:r>
      <w:r w:rsidRPr="00573AF0">
        <w:rPr>
          <w:kern w:val="0"/>
        </w:rPr>
        <w:t>兆円、不動産業（</w:t>
      </w:r>
      <w:r w:rsidRPr="00573AF0">
        <w:rPr>
          <w:kern w:val="0"/>
        </w:rPr>
        <w:t>1.111</w:t>
      </w:r>
      <w:r w:rsidRPr="00573AF0">
        <w:rPr>
          <w:kern w:val="0"/>
        </w:rPr>
        <w:t>）は</w:t>
      </w:r>
      <w:r w:rsidRPr="00573AF0">
        <w:rPr>
          <w:kern w:val="0"/>
        </w:rPr>
        <w:t>65</w:t>
      </w:r>
      <w:r w:rsidRPr="00573AF0">
        <w:rPr>
          <w:kern w:val="0"/>
        </w:rPr>
        <w:t>．</w:t>
      </w:r>
      <w:r w:rsidRPr="00573AF0">
        <w:rPr>
          <w:kern w:val="0"/>
        </w:rPr>
        <w:t>7</w:t>
      </w:r>
      <w:r w:rsidRPr="00573AF0">
        <w:rPr>
          <w:kern w:val="0"/>
        </w:rPr>
        <w:t>兆円、サービス業（</w:t>
      </w:r>
      <w:r w:rsidRPr="00573AF0">
        <w:rPr>
          <w:kern w:val="0"/>
        </w:rPr>
        <w:t>1.128</w:t>
      </w:r>
      <w:r w:rsidRPr="00573AF0">
        <w:rPr>
          <w:kern w:val="0"/>
        </w:rPr>
        <w:t>）は</w:t>
      </w:r>
      <w:r w:rsidRPr="00573AF0">
        <w:rPr>
          <w:kern w:val="0"/>
        </w:rPr>
        <w:t>118</w:t>
      </w:r>
      <w:r w:rsidRPr="00573AF0">
        <w:rPr>
          <w:kern w:val="0"/>
        </w:rPr>
        <w:t>兆円という非常に大きい規模の分野で特化している。中部では、そもそも製造業</w:t>
      </w:r>
      <w:r w:rsidRPr="00573AF0">
        <w:rPr>
          <w:rFonts w:hint="eastAsia"/>
          <w:kern w:val="0"/>
        </w:rPr>
        <w:t>全体</w:t>
      </w:r>
      <w:r w:rsidRPr="00573AF0">
        <w:rPr>
          <w:kern w:val="0"/>
        </w:rPr>
        <w:t>に対する特化係数が</w:t>
      </w:r>
      <w:r w:rsidRPr="00573AF0">
        <w:rPr>
          <w:kern w:val="0"/>
        </w:rPr>
        <w:t>1.522</w:t>
      </w:r>
      <w:r w:rsidRPr="00573AF0">
        <w:rPr>
          <w:kern w:val="0"/>
        </w:rPr>
        <w:t>で、その規模は</w:t>
      </w:r>
      <w:r w:rsidRPr="00573AF0">
        <w:rPr>
          <w:kern w:val="0"/>
        </w:rPr>
        <w:t>118</w:t>
      </w:r>
      <w:r w:rsidRPr="00573AF0">
        <w:rPr>
          <w:kern w:val="0"/>
        </w:rPr>
        <w:t>兆円である。このように特化係数で比較することで明らかにできたのが、関西地方で特化している産業は規模が小さ</w:t>
      </w:r>
      <w:r w:rsidRPr="00573AF0">
        <w:rPr>
          <w:rFonts w:hint="eastAsia"/>
          <w:kern w:val="0"/>
        </w:rPr>
        <w:t>いということだ。つまり、どれだけ現状において特化している産業を強めていこうとしてもその拡張性は限られているということである。</w:t>
      </w:r>
    </w:p>
    <w:p w:rsidR="009D6BF5" w:rsidRPr="00573AF0" w:rsidRDefault="009D6BF5" w:rsidP="00573AF0">
      <w:pPr>
        <w:pStyle w:val="ac"/>
        <w:rPr>
          <w:kern w:val="0"/>
          <w:szCs w:val="21"/>
        </w:rPr>
      </w:pPr>
    </w:p>
    <w:p w:rsidR="009D6BF5" w:rsidRPr="00573AF0" w:rsidRDefault="009D6BF5" w:rsidP="00573AF0">
      <w:pPr>
        <w:pStyle w:val="ac"/>
        <w:rPr>
          <w:kern w:val="0"/>
          <w:szCs w:val="21"/>
        </w:rPr>
      </w:pPr>
    </w:p>
    <w:p w:rsidR="009D6BF5" w:rsidRPr="00573AF0" w:rsidRDefault="001B4F90" w:rsidP="00573AF0">
      <w:pPr>
        <w:pStyle w:val="ac"/>
        <w:rPr>
          <w:kern w:val="0"/>
          <w:szCs w:val="21"/>
        </w:rPr>
      </w:pPr>
      <w:r>
        <w:rPr>
          <w:rFonts w:hint="eastAsia"/>
          <w:kern w:val="0"/>
          <w:szCs w:val="21"/>
        </w:rPr>
        <w:t>（２）</w:t>
      </w:r>
      <w:r w:rsidR="00573AF0">
        <w:rPr>
          <w:rFonts w:hint="eastAsia"/>
          <w:kern w:val="0"/>
          <w:szCs w:val="21"/>
        </w:rPr>
        <w:t xml:space="preserve">　</w:t>
      </w:r>
      <w:r w:rsidR="009D6BF5" w:rsidRPr="00573AF0">
        <w:rPr>
          <w:rFonts w:hint="eastAsia"/>
          <w:kern w:val="0"/>
          <w:szCs w:val="21"/>
        </w:rPr>
        <w:t>各地域における産業の成長から見る関西産業</w:t>
      </w:r>
    </w:p>
    <w:p w:rsidR="00573AF0" w:rsidRDefault="00573AF0" w:rsidP="00573AF0">
      <w:pPr>
        <w:pStyle w:val="ac"/>
        <w:ind w:firstLineChars="100" w:firstLine="210"/>
        <w:rPr>
          <w:kern w:val="0"/>
        </w:rPr>
      </w:pPr>
    </w:p>
    <w:p w:rsidR="009D6BF5" w:rsidRPr="00573AF0" w:rsidRDefault="009D6BF5" w:rsidP="00573AF0">
      <w:pPr>
        <w:pStyle w:val="ac"/>
        <w:ind w:firstLineChars="100" w:firstLine="210"/>
        <w:rPr>
          <w:kern w:val="0"/>
        </w:rPr>
      </w:pPr>
      <w:r w:rsidRPr="00573AF0">
        <w:rPr>
          <w:rFonts w:hint="eastAsia"/>
          <w:kern w:val="0"/>
        </w:rPr>
        <w:t>上に述べたように中部地方における製造業の特化率は非常に高いものであり、さらに最近</w:t>
      </w:r>
      <w:r w:rsidRPr="00573AF0">
        <w:rPr>
          <w:kern w:val="0"/>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w:t>
      </w:r>
      <w:r w:rsidRPr="00573AF0">
        <w:rPr>
          <w:kern w:val="0"/>
        </w:rPr>
        <w:t>16</w:t>
      </w:r>
      <w:r w:rsidRPr="00573AF0">
        <w:rPr>
          <w:kern w:val="0"/>
        </w:rPr>
        <w:t>年度版）を</w:t>
      </w:r>
      <w:r w:rsidRPr="00573AF0">
        <w:rPr>
          <w:kern w:val="0"/>
        </w:rPr>
        <w:t>10</w:t>
      </w:r>
      <w:r w:rsidRPr="00573AF0">
        <w:rPr>
          <w:kern w:val="0"/>
        </w:rPr>
        <w:t>年前のデータである平成</w:t>
      </w:r>
      <w:r w:rsidRPr="00573AF0">
        <w:rPr>
          <w:kern w:val="0"/>
        </w:rPr>
        <w:t>6</w:t>
      </w:r>
      <w:r w:rsidRPr="00573AF0">
        <w:rPr>
          <w:kern w:val="0"/>
        </w:rPr>
        <w:t>年の</w:t>
      </w:r>
      <w:r w:rsidRPr="00573AF0">
        <w:rPr>
          <w:rFonts w:hint="eastAsia"/>
          <w:kern w:val="0"/>
        </w:rPr>
        <w:t>特化係数のデータ</w:t>
      </w:r>
      <w:r w:rsidRPr="00340F19">
        <w:rPr>
          <w:rFonts w:hint="eastAsia"/>
          <w:color w:val="FF0000"/>
          <w:kern w:val="0"/>
        </w:rPr>
        <w:t>（</w:t>
      </w:r>
      <w:r w:rsidRPr="00340F19">
        <w:rPr>
          <w:rFonts w:hint="eastAsia"/>
          <w:color w:val="FF0000"/>
          <w:kern w:val="0"/>
        </w:rPr>
        <w:t>2-c</w:t>
      </w:r>
      <w:r w:rsidRPr="00340F19">
        <w:rPr>
          <w:color w:val="FF0000"/>
          <w:kern w:val="0"/>
        </w:rPr>
        <w:t>）</w:t>
      </w:r>
      <w:r w:rsidRPr="00573AF0">
        <w:rPr>
          <w:kern w:val="0"/>
        </w:rPr>
        <w:t>と比較することで、その変化を検証してみたいと思う。</w:t>
      </w:r>
    </w:p>
    <w:p w:rsidR="00573AF0" w:rsidRDefault="009D6BF5" w:rsidP="00573AF0">
      <w:pPr>
        <w:pStyle w:val="ac"/>
        <w:rPr>
          <w:kern w:val="0"/>
        </w:rPr>
      </w:pPr>
      <w:r w:rsidRPr="00573AF0">
        <w:rPr>
          <w:rFonts w:hint="eastAsia"/>
          <w:kern w:val="0"/>
        </w:rPr>
        <w:t>図</w:t>
      </w:r>
      <w:r w:rsidRPr="00340F19">
        <w:rPr>
          <w:rFonts w:hint="eastAsia"/>
          <w:color w:val="FF0000"/>
          <w:kern w:val="0"/>
        </w:rPr>
        <w:t>2-c</w:t>
      </w:r>
      <w:r w:rsidRPr="00573AF0">
        <w:rPr>
          <w:rFonts w:hint="eastAsia"/>
          <w:kern w:val="0"/>
        </w:rPr>
        <w:t>を参照するとわかるように、</w:t>
      </w:r>
      <w:r w:rsidRPr="00573AF0">
        <w:rPr>
          <w:kern w:val="0"/>
        </w:rPr>
        <w:t>まず中部地方において大きく変わったのが製造業の特化係数である。平成</w:t>
      </w:r>
      <w:r w:rsidRPr="00573AF0">
        <w:rPr>
          <w:kern w:val="0"/>
        </w:rPr>
        <w:t>6</w:t>
      </w:r>
      <w:r w:rsidRPr="00573AF0">
        <w:rPr>
          <w:kern w:val="0"/>
        </w:rPr>
        <w:t>年度においても、製造業の特化係数が</w:t>
      </w:r>
      <w:r w:rsidRPr="00573AF0">
        <w:rPr>
          <w:kern w:val="0"/>
        </w:rPr>
        <w:t>1.359</w:t>
      </w:r>
      <w:r w:rsidRPr="00573AF0">
        <w:rPr>
          <w:kern w:val="0"/>
        </w:rPr>
        <w:t>と全国と比べ非常に高水準に位置していたが、さらにその分野を強化して平成</w:t>
      </w:r>
      <w:r w:rsidRPr="00573AF0">
        <w:rPr>
          <w:kern w:val="0"/>
        </w:rPr>
        <w:t>16</w:t>
      </w:r>
      <w:r w:rsidRPr="00573AF0">
        <w:rPr>
          <w:kern w:val="0"/>
        </w:rPr>
        <w:t>年には上で述べたように</w:t>
      </w:r>
      <w:r w:rsidRPr="00573AF0">
        <w:rPr>
          <w:kern w:val="0"/>
        </w:rPr>
        <w:t>1.522</w:t>
      </w:r>
      <w:r w:rsidRPr="00573AF0">
        <w:rPr>
          <w:kern w:val="0"/>
        </w:rPr>
        <w:t>まで特化係数を上昇させた。また、</w:t>
      </w:r>
      <w:r w:rsidRPr="00573AF0">
        <w:rPr>
          <w:rFonts w:hint="eastAsia"/>
          <w:kern w:val="0"/>
        </w:rPr>
        <w:t>同じく</w:t>
      </w:r>
      <w:r w:rsidRPr="00573AF0">
        <w:rPr>
          <w:kern w:val="0"/>
        </w:rPr>
        <w:t>規模の大きい金融保険業でも、その特化係数を</w:t>
      </w:r>
      <w:r w:rsidRPr="00573AF0">
        <w:rPr>
          <w:kern w:val="0"/>
        </w:rPr>
        <w:t>10</w:t>
      </w:r>
      <w:r w:rsidRPr="00573AF0">
        <w:rPr>
          <w:kern w:val="0"/>
        </w:rPr>
        <w:t>％上昇させ</w:t>
      </w:r>
      <w:r w:rsidRPr="00573AF0">
        <w:rPr>
          <w:rFonts w:hint="eastAsia"/>
          <w:kern w:val="0"/>
        </w:rPr>
        <w:t>ている。このことから中部地方の産業が大きく発展したのは、もともと強みを持っていた製造業を大きく伸ばし、他の規模の大きい分野でのシェアを拡大したためであると読み取れそうである。</w:t>
      </w:r>
      <w:r w:rsidRPr="00573AF0">
        <w:rPr>
          <w:kern w:val="0"/>
        </w:rPr>
        <w:br/>
      </w:r>
      <w:r w:rsidRPr="00573AF0">
        <w:rPr>
          <w:kern w:val="0"/>
        </w:rPr>
        <w:t xml:space="preserve">　</w:t>
      </w:r>
    </w:p>
    <w:p w:rsidR="009D6BF5" w:rsidRPr="00573AF0" w:rsidRDefault="009D6BF5" w:rsidP="00F8739F">
      <w:pPr>
        <w:pStyle w:val="ac"/>
        <w:ind w:firstLineChars="100" w:firstLine="210"/>
        <w:rPr>
          <w:kern w:val="0"/>
        </w:rPr>
      </w:pPr>
      <w:r w:rsidRPr="00573AF0">
        <w:rPr>
          <w:kern w:val="0"/>
        </w:rPr>
        <w:t>関西地方では、製造業の特化係数は１％未満の上昇しかしていない。それにも関わらず、</w:t>
      </w:r>
      <w:r w:rsidRPr="00573AF0">
        <w:rPr>
          <w:rFonts w:hint="eastAsia"/>
          <w:kern w:val="0"/>
        </w:rPr>
        <w:t>古くから商業の大阪と比喩されるほど得意分野であったはずの</w:t>
      </w:r>
      <w:r w:rsidRPr="00573AF0">
        <w:rPr>
          <w:kern w:val="0"/>
        </w:rPr>
        <w:t>規模の大きい卸売業</w:t>
      </w:r>
      <w:r w:rsidRPr="00573AF0">
        <w:rPr>
          <w:rFonts w:hint="eastAsia"/>
          <w:kern w:val="0"/>
        </w:rPr>
        <w:t>で</w:t>
      </w:r>
      <w:r w:rsidRPr="00573AF0">
        <w:rPr>
          <w:kern w:val="0"/>
        </w:rPr>
        <w:t>は微減、金融・保険業は</w:t>
      </w:r>
      <w:r w:rsidRPr="00573AF0">
        <w:rPr>
          <w:kern w:val="0"/>
        </w:rPr>
        <w:t>10</w:t>
      </w:r>
      <w:r w:rsidRPr="00573AF0">
        <w:rPr>
          <w:kern w:val="0"/>
        </w:rPr>
        <w:t>％以上の大幅減少、不動産業（規模：</w:t>
      </w:r>
      <w:r w:rsidRPr="00573AF0">
        <w:rPr>
          <w:kern w:val="0"/>
        </w:rPr>
        <w:t>65.7</w:t>
      </w:r>
      <w:r w:rsidRPr="00573AF0">
        <w:rPr>
          <w:kern w:val="0"/>
        </w:rPr>
        <w:t>兆円）もうやや減少、サービス業も減少と、自らの得意分野を伸ばすことなく、規模の大きい産業におけるシェアも落とすことで衰退した</w:t>
      </w:r>
      <w:r w:rsidRPr="00573AF0">
        <w:rPr>
          <w:rFonts w:hint="eastAsia"/>
          <w:kern w:val="0"/>
        </w:rPr>
        <w:t>と推測できる。</w:t>
      </w:r>
    </w:p>
    <w:p w:rsidR="009D6BF5" w:rsidRPr="00573AF0" w:rsidRDefault="009D6BF5" w:rsidP="00573AF0">
      <w:pPr>
        <w:pStyle w:val="ac"/>
        <w:rPr>
          <w:kern w:val="0"/>
          <w:szCs w:val="21"/>
        </w:rPr>
      </w:pPr>
    </w:p>
    <w:p w:rsidR="009D6BF5" w:rsidRPr="00573AF0" w:rsidRDefault="009D6BF5" w:rsidP="00573AF0">
      <w:pPr>
        <w:pStyle w:val="ac"/>
        <w:rPr>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EC5F0C" w:rsidRDefault="00EC5F0C" w:rsidP="00573AF0">
      <w:pPr>
        <w:pStyle w:val="ac"/>
        <w:rPr>
          <w:b/>
          <w:kern w:val="0"/>
          <w:szCs w:val="21"/>
        </w:rPr>
      </w:pPr>
    </w:p>
    <w:p w:rsidR="009D6BF5" w:rsidRPr="00E5368C" w:rsidRDefault="009D6BF5" w:rsidP="00573AF0">
      <w:pPr>
        <w:pStyle w:val="ac"/>
        <w:rPr>
          <w:b/>
          <w:kern w:val="0"/>
          <w:szCs w:val="21"/>
        </w:rPr>
      </w:pPr>
      <w:r w:rsidRPr="00E5368C">
        <w:rPr>
          <w:rFonts w:hint="eastAsia"/>
          <w:b/>
          <w:kern w:val="0"/>
          <w:szCs w:val="21"/>
        </w:rPr>
        <w:t>2</w:t>
      </w:r>
      <w:r w:rsidR="001B4F90">
        <w:rPr>
          <w:rFonts w:hint="eastAsia"/>
          <w:b/>
          <w:kern w:val="0"/>
          <w:szCs w:val="21"/>
        </w:rPr>
        <w:t>）</w:t>
      </w:r>
      <w:r w:rsidRPr="00E5368C">
        <w:rPr>
          <w:rFonts w:hint="eastAsia"/>
          <w:b/>
          <w:kern w:val="0"/>
          <w:szCs w:val="21"/>
        </w:rPr>
        <w:t>中小企業の多さからみる関西の脆弱性</w:t>
      </w:r>
    </w:p>
    <w:p w:rsidR="00573AF0" w:rsidRDefault="00573AF0" w:rsidP="00573AF0">
      <w:pPr>
        <w:pStyle w:val="ac"/>
        <w:ind w:firstLineChars="100" w:firstLine="210"/>
        <w:rPr>
          <w:kern w:val="0"/>
        </w:rPr>
      </w:pPr>
    </w:p>
    <w:p w:rsidR="00EF28B8" w:rsidRDefault="009D6BF5" w:rsidP="00573AF0">
      <w:pPr>
        <w:pStyle w:val="ac"/>
        <w:ind w:firstLineChars="100" w:firstLine="210"/>
        <w:rPr>
          <w:kern w:val="0"/>
          <w:u w:val="single"/>
        </w:rPr>
      </w:pPr>
      <w:r w:rsidRPr="00573AF0">
        <w:rPr>
          <w:rFonts w:hint="eastAsia"/>
          <w:kern w:val="0"/>
        </w:rPr>
        <w:t>ここまでは特化係数という、どれだけその産業が特化していかという面だけで関西の産業を考察してきた。今度は平成</w:t>
      </w:r>
      <w:r w:rsidRPr="00573AF0">
        <w:rPr>
          <w:rFonts w:hint="eastAsia"/>
          <w:kern w:val="0"/>
        </w:rPr>
        <w:t>18</w:t>
      </w:r>
      <w:r w:rsidRPr="00573AF0">
        <w:rPr>
          <w:rFonts w:hint="eastAsia"/>
          <w:kern w:val="0"/>
        </w:rPr>
        <w:t>年度のデータにおける</w:t>
      </w:r>
      <w:r w:rsidRPr="00573AF0">
        <w:rPr>
          <w:kern w:val="0"/>
        </w:rPr>
        <w:t>各業種の企業数</w:t>
      </w:r>
      <w:r w:rsidRPr="00573AF0">
        <w:rPr>
          <w:rFonts w:hint="eastAsia"/>
          <w:kern w:val="0"/>
        </w:rPr>
        <w:t>の比率から関西産業を切ってみようと思う</w:t>
      </w:r>
      <w:r w:rsidRPr="00573AF0">
        <w:rPr>
          <w:kern w:val="0"/>
        </w:rPr>
        <w:t>。</w:t>
      </w:r>
      <w:r w:rsidRPr="00340F19">
        <w:rPr>
          <w:rFonts w:hint="eastAsia"/>
          <w:color w:val="FF0000"/>
          <w:kern w:val="0"/>
        </w:rPr>
        <w:t>2-d</w:t>
      </w:r>
      <w:r w:rsidRPr="00573AF0">
        <w:rPr>
          <w:rFonts w:hint="eastAsia"/>
          <w:kern w:val="0"/>
        </w:rPr>
        <w:t>の</w:t>
      </w:r>
      <w:r w:rsidRPr="00573AF0">
        <w:rPr>
          <w:kern w:val="0"/>
        </w:rPr>
        <w:t>グラフの通り、関東圏と関西圏における各業種の配分</w:t>
      </w:r>
      <w:r w:rsidRPr="00573AF0">
        <w:rPr>
          <w:rFonts w:hint="eastAsia"/>
          <w:kern w:val="0"/>
        </w:rPr>
        <w:t>比率</w:t>
      </w:r>
      <w:r w:rsidRPr="00573AF0">
        <w:rPr>
          <w:kern w:val="0"/>
        </w:rPr>
        <w:t>は似たようなものとなっている。</w:t>
      </w:r>
      <w:r w:rsidRPr="00573AF0">
        <w:rPr>
          <w:rFonts w:hint="eastAsia"/>
          <w:kern w:val="0"/>
        </w:rPr>
        <w:t>このデータから、建設業、製造業、卸売業の</w:t>
      </w:r>
      <w:r w:rsidRPr="00573AF0">
        <w:rPr>
          <w:rFonts w:hint="eastAsia"/>
          <w:kern w:val="0"/>
        </w:rPr>
        <w:t>3</w:t>
      </w:r>
      <w:r w:rsidRPr="00573AF0">
        <w:rPr>
          <w:rFonts w:hint="eastAsia"/>
          <w:kern w:val="0"/>
        </w:rPr>
        <w:t>つの業種が関西における企業の大部分を占めるということである。大企業の数が全企業に対して１％程度</w:t>
      </w:r>
      <w:r w:rsidRPr="00573AF0">
        <w:rPr>
          <w:rStyle w:val="a9"/>
          <w:rFonts w:asciiTheme="minorEastAsia" w:hAnsiTheme="minorEastAsia" w:cs="Arial"/>
          <w:color w:val="000000" w:themeColor="text1"/>
          <w:kern w:val="0"/>
          <w:szCs w:val="21"/>
        </w:rPr>
        <w:footnoteReference w:id="2"/>
      </w:r>
      <w:r w:rsidRPr="00573AF0">
        <w:rPr>
          <w:rFonts w:hint="eastAsia"/>
          <w:kern w:val="0"/>
        </w:rPr>
        <w:t>であると仮定すると、この</w:t>
      </w:r>
      <w:r w:rsidRPr="00573AF0">
        <w:rPr>
          <w:rFonts w:hint="eastAsia"/>
          <w:kern w:val="0"/>
        </w:rPr>
        <w:t>3</w:t>
      </w:r>
      <w:r w:rsidRPr="00573AF0">
        <w:rPr>
          <w:rFonts w:hint="eastAsia"/>
          <w:kern w:val="0"/>
        </w:rPr>
        <w:t>つの業種における中小企業の数がいかに多いかということが分かるだろう。</w:t>
      </w:r>
      <w:r w:rsidRPr="00573AF0">
        <w:rPr>
          <w:rFonts w:hint="eastAsia"/>
          <w:kern w:val="0"/>
          <w:u w:val="single"/>
        </w:rPr>
        <w:t>つまりこれらの業種における中小企業の集約が、関西企業の強みであり、同時に弱みでもある。そしてこれらの産業の今後が、関西経済を左右する大きなカギなので</w:t>
      </w:r>
      <w:commentRangeStart w:id="0"/>
      <w:r w:rsidRPr="00573AF0">
        <w:rPr>
          <w:rFonts w:hint="eastAsia"/>
          <w:kern w:val="0"/>
          <w:u w:val="single"/>
        </w:rPr>
        <w:t>ある</w:t>
      </w:r>
      <w:commentRangeEnd w:id="0"/>
      <w:r w:rsidR="00EC5F0C">
        <w:rPr>
          <w:rStyle w:val="af"/>
          <w:rFonts w:ascii="Century" w:eastAsia="ＭＳ 明朝" w:hAnsi="Century" w:cs="Times New Roman"/>
        </w:rPr>
        <w:commentReference w:id="0"/>
      </w:r>
      <w:r w:rsidRPr="00573AF0">
        <w:rPr>
          <w:rFonts w:hint="eastAsia"/>
          <w:kern w:val="0"/>
          <w:u w:val="single"/>
        </w:rPr>
        <w:t>。</w:t>
      </w:r>
    </w:p>
    <w:p w:rsidR="00EF28B8" w:rsidRDefault="00EF28B8" w:rsidP="00573AF0">
      <w:pPr>
        <w:pStyle w:val="ac"/>
        <w:ind w:firstLineChars="100" w:firstLine="210"/>
        <w:rPr>
          <w:kern w:val="0"/>
          <w:u w:val="single"/>
        </w:rPr>
      </w:pPr>
    </w:p>
    <w:p w:rsidR="009D6BF5" w:rsidRPr="00573AF0" w:rsidRDefault="00EF28B8" w:rsidP="00573AF0">
      <w:pPr>
        <w:pStyle w:val="ac"/>
        <w:ind w:firstLineChars="100" w:firstLine="210"/>
        <w:rPr>
          <w:kern w:val="0"/>
        </w:rPr>
      </w:pPr>
      <w:r w:rsidRPr="00573AF0">
        <w:rPr>
          <w:kern w:val="0"/>
        </w:rPr>
        <w:t>一方中部地方では、各業種が同じような割合で存在している。</w:t>
      </w:r>
      <w:r w:rsidRPr="00573AF0">
        <w:rPr>
          <w:rFonts w:hint="eastAsia"/>
          <w:kern w:val="0"/>
        </w:rPr>
        <w:t>非常に強い分野だと考えられる製造業においても、その数は</w:t>
      </w:r>
      <w:r w:rsidRPr="00573AF0">
        <w:rPr>
          <w:rFonts w:hint="eastAsia"/>
          <w:kern w:val="0"/>
        </w:rPr>
        <w:t>5</w:t>
      </w:r>
      <w:r w:rsidRPr="00573AF0">
        <w:rPr>
          <w:rFonts w:hint="eastAsia"/>
          <w:kern w:val="0"/>
        </w:rPr>
        <w:t>万社程度と関西地方のそれよりも大幅に少ない。このことは中部地方における製造業は、大企業が単独で多くの施設、工場、機能を維持しているということを表していると考えることができる。そうすると、トヨタ自動車</w:t>
      </w:r>
      <w:r w:rsidRPr="00573AF0">
        <w:rPr>
          <w:rFonts w:hint="eastAsia"/>
          <w:kern w:val="0"/>
        </w:rPr>
        <w:t>1</w:t>
      </w:r>
      <w:r w:rsidRPr="00573AF0">
        <w:rPr>
          <w:rFonts w:hint="eastAsia"/>
          <w:kern w:val="0"/>
        </w:rPr>
        <w:t>社を中心とした中部地方の急速な発展という事柄を説明することができる。企業比率</w:t>
      </w:r>
      <w:r w:rsidRPr="00573AF0">
        <w:rPr>
          <w:kern w:val="0"/>
        </w:rPr>
        <w:t>で考えると、関西は</w:t>
      </w:r>
      <w:r w:rsidRPr="00573AF0">
        <w:rPr>
          <w:rFonts w:hint="eastAsia"/>
          <w:kern w:val="0"/>
        </w:rPr>
        <w:t>中部ではなく関東地方によく似ている</w:t>
      </w:r>
      <w:r w:rsidRPr="00573AF0">
        <w:rPr>
          <w:kern w:val="0"/>
        </w:rPr>
        <w:t>。</w:t>
      </w:r>
      <w:r w:rsidRPr="00573AF0">
        <w:rPr>
          <w:rFonts w:hint="eastAsia"/>
          <w:kern w:val="0"/>
        </w:rPr>
        <w:t>企業比率は産業構造の重要な要素であり、</w:t>
      </w:r>
      <w:r w:rsidRPr="00573AF0">
        <w:rPr>
          <w:kern w:val="0"/>
        </w:rPr>
        <w:t>根づいた風習や、企業の制度、集合、シェアなどの基礎的な条件を考えてみると、その構造改革は企業単位では難しく、中部地方の製造業特化を関西地方でも同様に行おうと思っても難しい</w:t>
      </w:r>
      <w:r w:rsidRPr="00573AF0">
        <w:rPr>
          <w:rFonts w:hint="eastAsia"/>
          <w:kern w:val="0"/>
        </w:rPr>
        <w:t>のではないかと考える。</w:t>
      </w:r>
      <w:r w:rsidRPr="00573AF0">
        <w:rPr>
          <w:kern w:val="0"/>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p>
    <w:p w:rsidR="00573AF0" w:rsidRDefault="00EC5F0C" w:rsidP="00573AF0">
      <w:pPr>
        <w:pStyle w:val="ac"/>
        <w:rPr>
          <w:kern w:val="0"/>
        </w:rPr>
      </w:pPr>
      <w:r w:rsidRPr="00EC5F0C">
        <w:rPr>
          <w:noProof/>
          <w:kern w:val="0"/>
        </w:rPr>
        <w:drawing>
          <wp:inline distT="0" distB="0" distL="0" distR="0">
            <wp:extent cx="2902944" cy="4071067"/>
            <wp:effectExtent l="19050" t="0" r="11706" b="5633"/>
            <wp:docPr id="3"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C5F0C">
        <w:rPr>
          <w:noProof/>
          <w:kern w:val="0"/>
        </w:rPr>
        <w:drawing>
          <wp:inline distT="0" distB="0" distL="0" distR="0">
            <wp:extent cx="2422028" cy="4073939"/>
            <wp:effectExtent l="19050" t="0" r="16372" b="2761"/>
            <wp:docPr id="8"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C5F0C">
        <w:rPr>
          <w:noProof/>
          <w:kern w:val="0"/>
        </w:rPr>
        <w:drawing>
          <wp:inline distT="0" distB="0" distL="0" distR="0">
            <wp:extent cx="2902282" cy="3776870"/>
            <wp:effectExtent l="19050" t="0" r="12368" b="0"/>
            <wp:docPr id="10"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3622B" w:rsidRPr="00115C17" w:rsidRDefault="009D6BF5" w:rsidP="00115C17">
      <w:pPr>
        <w:pStyle w:val="ac"/>
        <w:ind w:firstLineChars="100" w:firstLine="210"/>
        <w:rPr>
          <w:kern w:val="0"/>
        </w:rPr>
      </w:pPr>
      <w:r w:rsidRPr="00573AF0">
        <w:rPr>
          <w:kern w:val="0"/>
        </w:rPr>
        <w:br/>
      </w:r>
      <w:r w:rsidRPr="00573AF0">
        <w:rPr>
          <w:kern w:val="0"/>
        </w:rPr>
        <w:t xml:space="preserve">　</w:t>
      </w:r>
    </w:p>
    <w:p w:rsidR="0053622B" w:rsidRPr="00573AF0" w:rsidRDefault="0053622B" w:rsidP="00573AF0">
      <w:pPr>
        <w:pStyle w:val="ac"/>
        <w:rPr>
          <w:rFonts w:cs="ＭＳ Ｐゴシック"/>
          <w:kern w:val="0"/>
          <w:szCs w:val="21"/>
        </w:rPr>
      </w:pPr>
      <w:r w:rsidRPr="00E5368C">
        <w:rPr>
          <w:rFonts w:cs="ＭＳ Ｐゴシック" w:hint="eastAsia"/>
          <w:b/>
          <w:kern w:val="0"/>
          <w:szCs w:val="21"/>
        </w:rPr>
        <w:t>3</w:t>
      </w:r>
      <w:r w:rsidR="001B4F90">
        <w:rPr>
          <w:rFonts w:cs="ＭＳ Ｐゴシック" w:hint="eastAsia"/>
          <w:b/>
          <w:kern w:val="0"/>
          <w:szCs w:val="21"/>
        </w:rPr>
        <w:t>）</w:t>
      </w:r>
      <w:r w:rsidRPr="00E5368C">
        <w:rPr>
          <w:rFonts w:cs="ＭＳ Ｐゴシック"/>
          <w:b/>
          <w:kern w:val="0"/>
          <w:szCs w:val="21"/>
        </w:rPr>
        <w:t>優良企業の財務諸表から見る関西経済</w:t>
      </w:r>
    </w:p>
    <w:p w:rsidR="00573AF0" w:rsidRDefault="00573AF0" w:rsidP="00573AF0">
      <w:pPr>
        <w:pStyle w:val="ac"/>
        <w:ind w:firstLineChars="100" w:firstLine="210"/>
        <w:rPr>
          <w:rFonts w:cs="ＭＳ Ｐゴシック"/>
          <w:kern w:val="0"/>
          <w:szCs w:val="21"/>
        </w:rPr>
      </w:pP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前節における産業の特化係数から、関西産業には「強み」と言い張れるリーディング産業が少なく、また規模が小さいという考察を得ることができた。そこでミクロの視点、つまり関西に本社を構える企業を見ることによって中長期的にリーディング産業になりうる分野を検証してゆく。</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当節では、現状分析として関西本社の企業の財務諸表を見ることにより関西企業の優位性を見出してゆく。財務状況が健全であることから株主への配当増配や、新規事業の創設や既存事業の強化のための設備投資、研究開発費の多くを捻出することができる。近年の大企業における内部留保、余裕資金が年々増加するのを反映してかは断定できないが、関西に本社を構えるシャープやパナソニックは大阪湾岸に大型な設備投資を行っている。ならば、関西企業は他地域の企業に対して財務体質が優れているのではないかという疑問が生まれたので、以下では関西、関東、中部に本社を置く企業群を比較して検証してゆく。</w:t>
      </w:r>
      <w:r w:rsidRPr="00573AF0">
        <w:rPr>
          <w:rFonts w:cs="ＭＳ Ｐゴシック"/>
          <w:kern w:val="0"/>
          <w:szCs w:val="21"/>
        </w:rPr>
        <w:br/>
      </w:r>
      <w:r w:rsidRPr="00573AF0">
        <w:rPr>
          <w:rFonts w:cs="ＭＳ Ｐゴシック"/>
          <w:kern w:val="0"/>
          <w:szCs w:val="21"/>
        </w:rPr>
        <w:t>当分析を行うに至って、「日経優良企業ランキング</w:t>
      </w:r>
      <w:r w:rsidRPr="00573AF0">
        <w:rPr>
          <w:rFonts w:cs="ＭＳ Ｐゴシック"/>
          <w:kern w:val="0"/>
          <w:szCs w:val="21"/>
        </w:rPr>
        <w:t>2008</w:t>
      </w:r>
      <w:r w:rsidRPr="00573AF0">
        <w:rPr>
          <w:rFonts w:cs="ＭＳ Ｐゴシック"/>
          <w:kern w:val="0"/>
          <w:szCs w:val="21"/>
        </w:rPr>
        <w:t>」の上位</w:t>
      </w:r>
      <w:r w:rsidRPr="00573AF0">
        <w:rPr>
          <w:rFonts w:cs="ＭＳ Ｐゴシック"/>
          <w:kern w:val="0"/>
          <w:szCs w:val="21"/>
        </w:rPr>
        <w:t>300</w:t>
      </w:r>
      <w:r w:rsidRPr="00573AF0">
        <w:rPr>
          <w:rFonts w:cs="ＭＳ Ｐゴシック"/>
          <w:kern w:val="0"/>
          <w:szCs w:val="21"/>
        </w:rPr>
        <w:t>社を使用した。企業の順位付けは、日本経済新聞社が上場企業の財務データベースなどを基にした「ＮＥＥＤＳ</w:t>
      </w:r>
      <w:r w:rsidRPr="00573AF0">
        <w:rPr>
          <w:rFonts w:cs="ＭＳ Ｐゴシック"/>
          <w:kern w:val="0"/>
          <w:szCs w:val="21"/>
        </w:rPr>
        <w:t>―</w:t>
      </w:r>
      <w:r w:rsidRPr="00573AF0">
        <w:rPr>
          <w:rFonts w:cs="ＭＳ Ｐゴシック"/>
          <w:kern w:val="0"/>
          <w:szCs w:val="21"/>
        </w:rPr>
        <w:t>ＣＡＳＭＡ」（多変量解析法による企業評価システム）を使うことにより行われた。新興市場や金融などを除く上場企業を対象とし、</w:t>
      </w:r>
      <w:r w:rsidRPr="00573AF0">
        <w:rPr>
          <w:rFonts w:cs="ＭＳ Ｐゴシック"/>
          <w:kern w:val="0"/>
          <w:szCs w:val="21"/>
        </w:rPr>
        <w:t>08</w:t>
      </w:r>
      <w:r w:rsidRPr="00573AF0">
        <w:rPr>
          <w:rFonts w:cs="ＭＳ Ｐゴシック"/>
          <w:kern w:val="0"/>
          <w:szCs w:val="21"/>
        </w:rPr>
        <w:t>年度（</w:t>
      </w:r>
      <w:r w:rsidRPr="00573AF0">
        <w:rPr>
          <w:rFonts w:cs="ＭＳ Ｐゴシック"/>
          <w:kern w:val="0"/>
          <w:szCs w:val="21"/>
        </w:rPr>
        <w:t>07</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月期</w:t>
      </w:r>
      <w:r w:rsidRPr="00573AF0">
        <w:rPr>
          <w:rFonts w:cs="ＭＳ Ｐゴシック"/>
          <w:kern w:val="0"/>
          <w:szCs w:val="21"/>
        </w:rPr>
        <w:t>―08</w:t>
      </w:r>
      <w:r w:rsidRPr="00573AF0">
        <w:rPr>
          <w:rFonts w:cs="ＭＳ Ｐゴシック"/>
          <w:kern w:val="0"/>
          <w:szCs w:val="21"/>
        </w:rPr>
        <w:t>年</w:t>
      </w:r>
      <w:r w:rsidRPr="00573AF0">
        <w:rPr>
          <w:rFonts w:cs="ＭＳ Ｐゴシック"/>
          <w:kern w:val="0"/>
          <w:szCs w:val="21"/>
        </w:rPr>
        <w:t>3</w:t>
      </w:r>
      <w:r w:rsidRPr="00573AF0">
        <w:rPr>
          <w:rFonts w:cs="ＭＳ Ｐゴシック"/>
          <w:kern w:val="0"/>
          <w:szCs w:val="21"/>
        </w:rPr>
        <w:t>月期）の財務データに基づいて「規模」「収益性」「安全性」「成長力」の４項目から評価し、今回のランキングは前年より安全性を重視している。</w:t>
      </w:r>
      <w:r w:rsidRPr="00573AF0">
        <w:rPr>
          <w:rFonts w:cs="ＭＳ Ｐゴシック"/>
          <w:kern w:val="0"/>
          <w:szCs w:val="21"/>
        </w:rPr>
        <w:br/>
      </w:r>
    </w:p>
    <w:p w:rsidR="001B4F90" w:rsidRDefault="0053622B" w:rsidP="00573AF0">
      <w:pPr>
        <w:pStyle w:val="ac"/>
        <w:ind w:firstLineChars="100" w:firstLine="210"/>
        <w:rPr>
          <w:rFonts w:cs="ＭＳ Ｐゴシック"/>
          <w:kern w:val="0"/>
          <w:szCs w:val="21"/>
        </w:rPr>
      </w:pPr>
      <w:r w:rsidRPr="00573AF0">
        <w:rPr>
          <w:rFonts w:cs="ＭＳ Ｐゴシック"/>
          <w:kern w:val="0"/>
          <w:szCs w:val="21"/>
        </w:rPr>
        <w:t>上位</w:t>
      </w:r>
      <w:r w:rsidRPr="00573AF0">
        <w:rPr>
          <w:rFonts w:cs="ＭＳ Ｐゴシック"/>
          <w:kern w:val="0"/>
          <w:szCs w:val="21"/>
        </w:rPr>
        <w:t>300</w:t>
      </w:r>
      <w:r w:rsidRPr="00573AF0">
        <w:rPr>
          <w:rFonts w:cs="ＭＳ Ｐゴシック"/>
          <w:kern w:val="0"/>
          <w:szCs w:val="21"/>
        </w:rPr>
        <w:t>社を本社所在地域別に区分けすると、関東</w:t>
      </w:r>
      <w:r w:rsidRPr="00573AF0">
        <w:rPr>
          <w:rFonts w:cs="ＭＳ Ｐゴシック"/>
          <w:kern w:val="0"/>
          <w:szCs w:val="21"/>
        </w:rPr>
        <w:t>186</w:t>
      </w:r>
      <w:r w:rsidRPr="00573AF0">
        <w:rPr>
          <w:rFonts w:cs="ＭＳ Ｐゴシック"/>
          <w:kern w:val="0"/>
          <w:szCs w:val="21"/>
        </w:rPr>
        <w:t>社、関西</w:t>
      </w:r>
      <w:r w:rsidRPr="00573AF0">
        <w:rPr>
          <w:rFonts w:cs="ＭＳ Ｐゴシック"/>
          <w:kern w:val="0"/>
          <w:szCs w:val="21"/>
        </w:rPr>
        <w:t>53</w:t>
      </w:r>
      <w:r w:rsidRPr="00573AF0">
        <w:rPr>
          <w:rFonts w:cs="ＭＳ Ｐゴシック"/>
          <w:kern w:val="0"/>
          <w:szCs w:val="21"/>
        </w:rPr>
        <w:t>社、中部</w:t>
      </w:r>
      <w:r w:rsidRPr="00573AF0">
        <w:rPr>
          <w:rFonts w:cs="ＭＳ Ｐゴシック"/>
          <w:kern w:val="0"/>
          <w:szCs w:val="21"/>
        </w:rPr>
        <w:t>37</w:t>
      </w:r>
      <w:r w:rsidRPr="00573AF0">
        <w:rPr>
          <w:rFonts w:cs="ＭＳ Ｐゴシック"/>
          <w:kern w:val="0"/>
          <w:szCs w:val="21"/>
        </w:rPr>
        <w:t>社、その他</w:t>
      </w:r>
      <w:r w:rsidRPr="00573AF0">
        <w:rPr>
          <w:rFonts w:cs="ＭＳ Ｐゴシック"/>
          <w:kern w:val="0"/>
          <w:szCs w:val="21"/>
        </w:rPr>
        <w:t>24</w:t>
      </w:r>
      <w:r w:rsidRPr="00573AF0">
        <w:rPr>
          <w:rFonts w:cs="ＭＳ Ｐゴシック"/>
          <w:kern w:val="0"/>
          <w:szCs w:val="21"/>
        </w:rPr>
        <w:t>社となる。そこでこれら３つの地域別企業群を</w:t>
      </w:r>
      <w:r w:rsidRPr="00573AF0">
        <w:rPr>
          <w:rFonts w:cs="ＭＳ Ｐゴシック"/>
          <w:kern w:val="0"/>
          <w:szCs w:val="21"/>
        </w:rPr>
        <w:t>PER</w:t>
      </w:r>
      <w:r w:rsidRPr="00573AF0">
        <w:rPr>
          <w:rFonts w:cs="ＭＳ Ｐゴシック"/>
          <w:kern w:val="0"/>
          <w:szCs w:val="21"/>
        </w:rPr>
        <w:t>、</w:t>
      </w:r>
      <w:r w:rsidRPr="00573AF0">
        <w:rPr>
          <w:rFonts w:cs="ＭＳ Ｐゴシック"/>
          <w:kern w:val="0"/>
          <w:szCs w:val="21"/>
        </w:rPr>
        <w:t>PBR</w:t>
      </w:r>
      <w:r w:rsidRPr="00573AF0">
        <w:rPr>
          <w:rFonts w:cs="ＭＳ Ｐゴシック"/>
          <w:kern w:val="0"/>
          <w:szCs w:val="21"/>
        </w:rPr>
        <w:t>、</w:t>
      </w:r>
      <w:r w:rsidRPr="00573AF0">
        <w:rPr>
          <w:rFonts w:cs="ＭＳ Ｐゴシック"/>
          <w:kern w:val="0"/>
          <w:szCs w:val="21"/>
        </w:rPr>
        <w:t>ROE</w:t>
      </w:r>
      <w:r w:rsidRPr="00573AF0">
        <w:rPr>
          <w:rFonts w:cs="ＭＳ Ｐゴシック"/>
          <w:kern w:val="0"/>
          <w:szCs w:val="21"/>
        </w:rPr>
        <w:t>、自己資本比率</w:t>
      </w:r>
      <w:r w:rsidRPr="00340F19">
        <w:rPr>
          <w:rFonts w:cs="ＭＳ Ｐゴシック"/>
          <w:color w:val="FF0000"/>
          <w:kern w:val="0"/>
          <w:szCs w:val="21"/>
        </w:rPr>
        <w:t>（図）</w:t>
      </w:r>
      <w:r w:rsidRPr="00573AF0">
        <w:rPr>
          <w:rFonts w:cs="ＭＳ Ｐゴシック"/>
          <w:kern w:val="0"/>
          <w:szCs w:val="21"/>
        </w:rPr>
        <w:t>という４つの指標から関西企業の優位性を見てゆく。</w:t>
      </w:r>
      <w:r w:rsidR="001B4F90">
        <w:rPr>
          <w:rFonts w:cs="ＭＳ Ｐゴシック"/>
          <w:kern w:val="0"/>
          <w:szCs w:val="21"/>
        </w:rPr>
        <w:br/>
      </w:r>
    </w:p>
    <w:p w:rsidR="00573AF0" w:rsidRDefault="001B4F90" w:rsidP="00573AF0">
      <w:pPr>
        <w:pStyle w:val="ac"/>
        <w:ind w:firstLineChars="100" w:firstLine="210"/>
        <w:rPr>
          <w:rFonts w:cs="ＭＳ Ｐゴシック"/>
          <w:kern w:val="0"/>
          <w:szCs w:val="21"/>
        </w:rPr>
      </w:pPr>
      <w:r>
        <w:rPr>
          <w:rFonts w:cs="ＭＳ 明朝" w:hint="eastAsia"/>
          <w:kern w:val="0"/>
          <w:szCs w:val="21"/>
        </w:rPr>
        <w:t>（</w:t>
      </w:r>
      <w:r>
        <w:rPr>
          <w:rFonts w:cs="Century" w:hint="eastAsia"/>
          <w:kern w:val="0"/>
          <w:szCs w:val="21"/>
        </w:rPr>
        <w:t>１）</w:t>
      </w:r>
      <w:r w:rsidR="0053622B" w:rsidRPr="00573AF0">
        <w:rPr>
          <w:rFonts w:cs="Century"/>
          <w:kern w:val="0"/>
          <w:szCs w:val="21"/>
        </w:rPr>
        <w:t>  PER</w:t>
      </w:r>
      <w:r w:rsidR="0053622B" w:rsidRPr="00573AF0">
        <w:rPr>
          <w:rFonts w:cs="Century"/>
          <w:kern w:val="0"/>
          <w:szCs w:val="21"/>
        </w:rPr>
        <w:br/>
      </w:r>
      <w:r w:rsidR="00573AF0">
        <w:rPr>
          <w:rFonts w:cs="ＭＳ Ｐゴシック" w:hint="eastAsia"/>
          <w:kern w:val="0"/>
          <w:szCs w:val="21"/>
        </w:rPr>
        <w:t xml:space="preserve">　</w:t>
      </w: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株価収益率とも呼ばれ、株価と企業の収益力を比較することによって株式の投資価値を判断する際に利用される指標である。株価を１株当たりの当期純利益で除して算出される。</w:t>
      </w:r>
      <w:r w:rsidRPr="00573AF0">
        <w:rPr>
          <w:rFonts w:cs="ＭＳ Ｐゴシック"/>
          <w:kern w:val="0"/>
          <w:szCs w:val="21"/>
        </w:rPr>
        <w:br/>
      </w:r>
      <w:r w:rsidRPr="00573AF0">
        <w:rPr>
          <w:rFonts w:cs="ＭＳ Ｐゴシック"/>
          <w:kern w:val="0"/>
          <w:szCs w:val="21"/>
        </w:rPr>
        <w:t>一般的に、</w:t>
      </w:r>
      <w:r w:rsidRPr="00573AF0">
        <w:rPr>
          <w:rFonts w:cs="ＭＳ Ｐゴシック"/>
          <w:kern w:val="0"/>
          <w:szCs w:val="21"/>
        </w:rPr>
        <w:t>PER</w:t>
      </w:r>
      <w:r w:rsidRPr="00573AF0">
        <w:rPr>
          <w:rFonts w:cs="ＭＳ Ｐゴシック"/>
          <w:kern w:val="0"/>
          <w:szCs w:val="21"/>
        </w:rPr>
        <w:t>が低ければ低いほど、企業価値に対して株価が割安であると考えられる。一方、</w:t>
      </w:r>
      <w:r w:rsidRPr="00573AF0">
        <w:rPr>
          <w:rFonts w:cs="ＭＳ Ｐゴシック"/>
          <w:kern w:val="0"/>
          <w:szCs w:val="21"/>
        </w:rPr>
        <w:t>PER</w:t>
      </w:r>
      <w:r w:rsidRPr="00573AF0">
        <w:rPr>
          <w:rFonts w:cs="ＭＳ Ｐゴシック"/>
          <w:kern w:val="0"/>
          <w:szCs w:val="21"/>
        </w:rPr>
        <w:t>は企業の成長力や、安定性が反映され、</w:t>
      </w:r>
      <w:r w:rsidRPr="00573AF0">
        <w:rPr>
          <w:rFonts w:cs="ＭＳ Ｐゴシック"/>
          <w:kern w:val="0"/>
          <w:szCs w:val="21"/>
        </w:rPr>
        <w:t>IT</w:t>
      </w:r>
      <w:r w:rsidRPr="00573AF0">
        <w:rPr>
          <w:rFonts w:cs="ＭＳ Ｐゴシック"/>
          <w:kern w:val="0"/>
          <w:szCs w:val="21"/>
        </w:rPr>
        <w:t>関連企業など成長の見込める企業の</w:t>
      </w:r>
      <w:r w:rsidRPr="00573AF0">
        <w:rPr>
          <w:rFonts w:cs="ＭＳ Ｐゴシック"/>
          <w:kern w:val="0"/>
          <w:szCs w:val="21"/>
        </w:rPr>
        <w:t>PER</w:t>
      </w:r>
      <w:r w:rsidRPr="00573AF0">
        <w:rPr>
          <w:rFonts w:cs="ＭＳ Ｐゴシック"/>
          <w:kern w:val="0"/>
          <w:szCs w:val="21"/>
        </w:rPr>
        <w:t>は高くなる傾向がある。そうしたことから、</w:t>
      </w:r>
      <w:r w:rsidRPr="00573AF0">
        <w:rPr>
          <w:rFonts w:cs="ＭＳ Ｐゴシック"/>
          <w:kern w:val="0"/>
          <w:szCs w:val="21"/>
        </w:rPr>
        <w:t>PER</w:t>
      </w:r>
      <w:r w:rsidRPr="00573AF0">
        <w:rPr>
          <w:rFonts w:cs="ＭＳ Ｐゴシック"/>
          <w:kern w:val="0"/>
          <w:szCs w:val="21"/>
        </w:rPr>
        <w:t>は企業の在命期間の長さとも捉えることが出来、本稿では</w:t>
      </w:r>
      <w:r w:rsidRPr="00573AF0">
        <w:rPr>
          <w:rFonts w:cs="ＭＳ Ｐゴシック"/>
          <w:kern w:val="0"/>
          <w:szCs w:val="21"/>
        </w:rPr>
        <w:t>PER</w:t>
      </w:r>
      <w:r w:rsidRPr="00573AF0">
        <w:rPr>
          <w:rFonts w:cs="ＭＳ Ｐゴシック"/>
          <w:kern w:val="0"/>
          <w:szCs w:val="21"/>
        </w:rPr>
        <w:t>の高い企業群に焦点を当てる。全国平均は</w:t>
      </w:r>
      <w:r w:rsidRPr="00573AF0">
        <w:rPr>
          <w:rFonts w:cs="ＭＳ Ｐゴシック"/>
          <w:kern w:val="0"/>
          <w:szCs w:val="21"/>
        </w:rPr>
        <w:t>12.61</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13.22</w:t>
      </w:r>
      <w:r w:rsidRPr="00573AF0">
        <w:rPr>
          <w:rFonts w:cs="ＭＳ Ｐゴシック"/>
          <w:kern w:val="0"/>
          <w:szCs w:val="21"/>
        </w:rPr>
        <w:t>倍であり、最高値はカカクコム（サービス業）の</w:t>
      </w:r>
      <w:r w:rsidRPr="00573AF0">
        <w:rPr>
          <w:rFonts w:cs="ＭＳ Ｐゴシック"/>
          <w:kern w:val="0"/>
          <w:szCs w:val="21"/>
        </w:rPr>
        <w:t>74.07</w:t>
      </w:r>
      <w:r w:rsidRPr="00573AF0">
        <w:rPr>
          <w:rFonts w:cs="ＭＳ Ｐゴシック"/>
          <w:kern w:val="0"/>
          <w:szCs w:val="21"/>
        </w:rPr>
        <w:t>倍と非常に高い。また</w:t>
      </w:r>
      <w:r w:rsidRPr="00573AF0">
        <w:rPr>
          <w:rFonts w:cs="ＭＳ Ｐゴシック"/>
          <w:kern w:val="0"/>
          <w:szCs w:val="21"/>
        </w:rPr>
        <w:t>PER20</w:t>
      </w:r>
      <w:r w:rsidRPr="00573AF0">
        <w:rPr>
          <w:rFonts w:cs="ＭＳ Ｐゴシック"/>
          <w:kern w:val="0"/>
          <w:szCs w:val="21"/>
        </w:rPr>
        <w:t>倍以上の業種には、サービス業、情報・通信業、小売業、医薬品などの多くが集中し、利益率の高い産業構造となっている。中部では、平均値は</w:t>
      </w:r>
      <w:r w:rsidRPr="00573AF0">
        <w:rPr>
          <w:rFonts w:cs="ＭＳ Ｐゴシック"/>
          <w:kern w:val="0"/>
          <w:szCs w:val="21"/>
        </w:rPr>
        <w:t>9.75</w:t>
      </w:r>
      <w:r w:rsidRPr="00573AF0">
        <w:rPr>
          <w:rFonts w:cs="ＭＳ Ｐゴシック"/>
          <w:kern w:val="0"/>
          <w:szCs w:val="21"/>
        </w:rPr>
        <w:t>倍であり、最高値はサンゲツ（卸売業）の</w:t>
      </w:r>
      <w:r w:rsidRPr="00573AF0">
        <w:rPr>
          <w:rFonts w:cs="ＭＳ Ｐゴシック"/>
          <w:kern w:val="0"/>
          <w:szCs w:val="21"/>
        </w:rPr>
        <w:t>50</w:t>
      </w:r>
      <w:r w:rsidRPr="00573AF0">
        <w:rPr>
          <w:rFonts w:cs="ＭＳ Ｐゴシック"/>
          <w:kern w:val="0"/>
          <w:szCs w:val="21"/>
        </w:rPr>
        <w:t>．</w:t>
      </w:r>
      <w:r w:rsidRPr="00573AF0">
        <w:rPr>
          <w:rFonts w:cs="ＭＳ Ｐゴシック"/>
          <w:kern w:val="0"/>
          <w:szCs w:val="21"/>
        </w:rPr>
        <w:t>00</w:t>
      </w:r>
      <w:r w:rsidRPr="00573AF0">
        <w:rPr>
          <w:rFonts w:cs="ＭＳ Ｐゴシック"/>
          <w:kern w:val="0"/>
          <w:szCs w:val="21"/>
        </w:rPr>
        <w:t>倍と突出して高い企業はあるが、全体で見ると低い。理由として、固定費用が多く掛かる輸送用機器、電気機器中心の製造業が多いことが挙げられる。関西では、平均値は</w:t>
      </w:r>
      <w:r w:rsidRPr="00573AF0">
        <w:rPr>
          <w:rFonts w:cs="ＭＳ Ｐゴシック"/>
          <w:kern w:val="0"/>
          <w:szCs w:val="21"/>
        </w:rPr>
        <w:t>12.14</w:t>
      </w:r>
      <w:r w:rsidRPr="00573AF0">
        <w:rPr>
          <w:rFonts w:cs="ＭＳ Ｐゴシック"/>
          <w:kern w:val="0"/>
          <w:szCs w:val="21"/>
        </w:rPr>
        <w:t>倍であり、最高値は日清食品</w:t>
      </w:r>
      <w:r w:rsidRPr="00573AF0">
        <w:rPr>
          <w:rFonts w:cs="ＭＳ Ｐゴシック"/>
          <w:kern w:val="0"/>
          <w:szCs w:val="21"/>
        </w:rPr>
        <w:t>HD</w:t>
      </w:r>
      <w:r w:rsidRPr="00573AF0">
        <w:rPr>
          <w:rFonts w:cs="ＭＳ Ｐゴシック"/>
          <w:kern w:val="0"/>
          <w:szCs w:val="21"/>
        </w:rPr>
        <w:t>（食料品）の</w:t>
      </w:r>
      <w:r w:rsidRPr="00573AF0">
        <w:rPr>
          <w:rFonts w:cs="ＭＳ Ｐゴシック"/>
          <w:kern w:val="0"/>
          <w:szCs w:val="21"/>
        </w:rPr>
        <w:t>31.7</w:t>
      </w:r>
      <w:r w:rsidRPr="00573AF0">
        <w:rPr>
          <w:rFonts w:cs="ＭＳ Ｐゴシック"/>
          <w:kern w:val="0"/>
          <w:szCs w:val="21"/>
        </w:rPr>
        <w:t>倍と、全体で見ると関東比べて低く、突出して高い企業もない。</w:t>
      </w:r>
      <w:r w:rsidRPr="00573AF0">
        <w:rPr>
          <w:rFonts w:cs="ＭＳ Ｐゴシック"/>
          <w:kern w:val="0"/>
          <w:szCs w:val="21"/>
        </w:rPr>
        <w:t>PER20</w:t>
      </w:r>
      <w:r w:rsidRPr="00573AF0">
        <w:rPr>
          <w:rFonts w:cs="ＭＳ Ｐゴシック"/>
          <w:kern w:val="0"/>
          <w:szCs w:val="21"/>
        </w:rPr>
        <w:t>倍以上の業種には、医薬品、電気機器が挙げられる。大阪府道修町に本社を構えた国内の業界大手の製薬会社４社が関西地域の利益率向上に貢献していると言える。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 xml:space="preserve">（２）　</w:t>
      </w:r>
      <w:r w:rsidRPr="00573AF0">
        <w:rPr>
          <w:rFonts w:cs="Century"/>
          <w:kern w:val="0"/>
          <w:szCs w:val="21"/>
        </w:rPr>
        <w:t>PBR</w:t>
      </w:r>
      <w:r w:rsidRPr="00573AF0">
        <w:rPr>
          <w:rFonts w:cs="Century"/>
          <w:kern w:val="0"/>
          <w:szCs w:val="21"/>
        </w:rPr>
        <w:br/>
      </w:r>
      <w:r w:rsidR="00573AF0">
        <w:rPr>
          <w:rFonts w:cs="ＭＳ Ｐゴシック" w:hint="eastAsia"/>
          <w:kern w:val="0"/>
          <w:szCs w:val="21"/>
        </w:rPr>
        <w:t xml:space="preserve">　</w:t>
      </w:r>
    </w:p>
    <w:p w:rsidR="009E1515" w:rsidRDefault="0053622B" w:rsidP="009E1515">
      <w:pPr>
        <w:pStyle w:val="ac"/>
        <w:ind w:firstLineChars="100" w:firstLine="210"/>
        <w:rPr>
          <w:rFonts w:cs="ＭＳ Ｐゴシック"/>
          <w:kern w:val="0"/>
          <w:szCs w:val="21"/>
        </w:rPr>
      </w:pPr>
      <w:r w:rsidRPr="00573AF0">
        <w:rPr>
          <w:rFonts w:cs="ＭＳ Ｐゴシック"/>
          <w:kern w:val="0"/>
          <w:szCs w:val="21"/>
        </w:rPr>
        <w:t>株価純資産倍率とも呼ばれ、企業の資産面から株価の状態を判断する指標である。株価を１株あたり純資産で除して算出される。一般的に、１倍を基準として低ければ低いほど株価が割安である。</w:t>
      </w:r>
      <w:r w:rsidRPr="00573AF0">
        <w:rPr>
          <w:rFonts w:cs="ＭＳ Ｐゴシック"/>
          <w:kern w:val="0"/>
          <w:szCs w:val="21"/>
        </w:rPr>
        <w:t>PBR</w:t>
      </w:r>
      <w:r w:rsidRPr="00573AF0">
        <w:rPr>
          <w:rFonts w:cs="ＭＳ Ｐゴシック"/>
          <w:kern w:val="0"/>
          <w:szCs w:val="21"/>
        </w:rPr>
        <w:t>が１倍を下回るような場合には、企業の生み出す利益がほとんど評価されていないと考えられ、その資産そのものの価値が評価されていると考えられる。全国平均は</w:t>
      </w:r>
      <w:r w:rsidRPr="00573AF0">
        <w:rPr>
          <w:rFonts w:cs="ＭＳ Ｐゴシック"/>
          <w:kern w:val="0"/>
          <w:szCs w:val="21"/>
        </w:rPr>
        <w:t>1.32</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1.47</w:t>
      </w:r>
      <w:r w:rsidRPr="00573AF0">
        <w:rPr>
          <w:rFonts w:cs="ＭＳ Ｐゴシック"/>
          <w:kern w:val="0"/>
          <w:szCs w:val="21"/>
        </w:rPr>
        <w:t>倍であり、最高値はカカクコム（サービス業）の</w:t>
      </w:r>
      <w:r w:rsidRPr="00573AF0">
        <w:rPr>
          <w:rFonts w:cs="ＭＳ Ｐゴシック"/>
          <w:kern w:val="0"/>
          <w:szCs w:val="21"/>
        </w:rPr>
        <w:t>20.56</w:t>
      </w:r>
      <w:r w:rsidRPr="00573AF0">
        <w:rPr>
          <w:rFonts w:cs="ＭＳ Ｐゴシック"/>
          <w:kern w:val="0"/>
          <w:szCs w:val="21"/>
        </w:rPr>
        <w:t>倍と高く、業種としてはサービス業、情報・通信業、小売業が中心となる。平均して高い</w:t>
      </w:r>
      <w:r w:rsidRPr="00573AF0">
        <w:rPr>
          <w:rFonts w:cs="ＭＳ Ｐゴシック"/>
          <w:kern w:val="0"/>
          <w:szCs w:val="21"/>
        </w:rPr>
        <w:t>RBR</w:t>
      </w:r>
      <w:r w:rsidRPr="00573AF0">
        <w:rPr>
          <w:rFonts w:cs="ＭＳ Ｐゴシック"/>
          <w:kern w:val="0"/>
          <w:szCs w:val="21"/>
        </w:rPr>
        <w:t>となっており、</w:t>
      </w:r>
      <w:r w:rsidRPr="00573AF0">
        <w:rPr>
          <w:rFonts w:cs="ＭＳ Ｐゴシック"/>
          <w:kern w:val="0"/>
          <w:szCs w:val="21"/>
        </w:rPr>
        <w:t>IT</w:t>
      </w:r>
      <w:r w:rsidRPr="00573AF0">
        <w:rPr>
          <w:rFonts w:cs="ＭＳ Ｐゴシック"/>
          <w:kern w:val="0"/>
          <w:szCs w:val="21"/>
        </w:rPr>
        <w:t>関連産業を中心に将来性が高く評価されているのが分かる。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0.81</w:t>
      </w:r>
      <w:r w:rsidRPr="00573AF0">
        <w:rPr>
          <w:rFonts w:cs="ＭＳ Ｐゴシック"/>
          <w:kern w:val="0"/>
          <w:szCs w:val="21"/>
        </w:rPr>
        <w:t>倍であり、最高値は東海旅客鉄道（陸運業）の</w:t>
      </w:r>
      <w:r w:rsidRPr="00573AF0">
        <w:rPr>
          <w:rFonts w:cs="ＭＳ Ｐゴシック"/>
          <w:kern w:val="0"/>
          <w:szCs w:val="21"/>
        </w:rPr>
        <w:t>2.00</w:t>
      </w:r>
      <w:r w:rsidRPr="00573AF0">
        <w:rPr>
          <w:rFonts w:cs="ＭＳ Ｐゴシック"/>
          <w:kern w:val="0"/>
          <w:szCs w:val="21"/>
        </w:rPr>
        <w:t>倍となり、実際の資産にたいしてあまり評価されてないのが分かる。</w:t>
      </w:r>
      <w:r w:rsidRPr="00573AF0">
        <w:rPr>
          <w:rFonts w:cs="ＭＳ Ｐゴシック"/>
          <w:kern w:val="0"/>
          <w:szCs w:val="21"/>
        </w:rPr>
        <w:br/>
      </w:r>
      <w:r w:rsidRPr="00573AF0">
        <w:rPr>
          <w:rFonts w:cs="ＭＳ Ｐゴシック"/>
          <w:kern w:val="0"/>
          <w:szCs w:val="21"/>
        </w:rPr>
        <w:t>関西では、平均値は</w:t>
      </w:r>
      <w:r w:rsidRPr="00573AF0">
        <w:rPr>
          <w:rFonts w:cs="ＭＳ Ｐゴシック"/>
          <w:kern w:val="0"/>
          <w:szCs w:val="21"/>
        </w:rPr>
        <w:t>1.12</w:t>
      </w:r>
      <w:r w:rsidRPr="00573AF0">
        <w:rPr>
          <w:rFonts w:cs="ＭＳ Ｐゴシック"/>
          <w:kern w:val="0"/>
          <w:szCs w:val="21"/>
        </w:rPr>
        <w:t>倍であり、最高値はイオンディライト（サービス業）の</w:t>
      </w:r>
      <w:r w:rsidRPr="00573AF0">
        <w:rPr>
          <w:rFonts w:cs="ＭＳ Ｐゴシック"/>
          <w:kern w:val="0"/>
          <w:szCs w:val="21"/>
        </w:rPr>
        <w:t>4.7</w:t>
      </w:r>
      <w:r w:rsidRPr="00573AF0">
        <w:rPr>
          <w:rFonts w:cs="ＭＳ Ｐゴシック"/>
          <w:kern w:val="0"/>
          <w:szCs w:val="21"/>
        </w:rPr>
        <w:t>倍であり、関東に比べ収益率があまり高く評価されていないと考えられる。</w:t>
      </w:r>
      <w:r w:rsidRPr="00573AF0">
        <w:rPr>
          <w:rFonts w:cs="ＭＳ Ｐゴシック"/>
          <w:kern w:val="0"/>
          <w:szCs w:val="21"/>
        </w:rPr>
        <w:br/>
      </w:r>
      <w:r w:rsidRPr="00573AF0">
        <w:rPr>
          <w:rFonts w:cs="ＭＳ Ｐゴシック"/>
          <w:kern w:val="0"/>
          <w:szCs w:val="21"/>
        </w:rPr>
        <w:t>とやはり関東に比べて低い傾向にある。</w:t>
      </w:r>
      <w:r w:rsidRPr="00573AF0">
        <w:rPr>
          <w:rFonts w:cs="ＭＳ Ｐゴシック"/>
          <w:kern w:val="0"/>
          <w:szCs w:val="21"/>
        </w:rPr>
        <w:br/>
      </w:r>
    </w:p>
    <w:p w:rsidR="00EE40C6" w:rsidRDefault="00383494" w:rsidP="00EE40C6">
      <w:pPr>
        <w:pStyle w:val="ac"/>
        <w:rPr>
          <w:rFonts w:cs="ＭＳ Ｐゴシック"/>
          <w:kern w:val="0"/>
          <w:szCs w:val="21"/>
        </w:rPr>
      </w:pPr>
      <w:r>
        <w:rPr>
          <w:rFonts w:cs="ＭＳ Ｐゴシック"/>
          <w:noProof/>
          <w:kern w:val="0"/>
          <w:szCs w:val="21"/>
        </w:rPr>
        <w:pict>
          <v:shapetype id="_x0000_t202" coordsize="21600,21600" o:spt="202" path="m0,0l0,21600,21600,21600,21600,0xe">
            <v:stroke joinstyle="miter"/>
            <v:path gradientshapeok="t" o:connecttype="rect"/>
          </v:shapetype>
          <v:shape id="_x0000_s2054" type="#_x0000_t202" style="position:absolute;left:0;text-align:left;margin-left:262.4pt;margin-top:181.85pt;width:163.9pt;height:23.15pt;z-index:251660288;mso-width-relative:margin;mso-height-relative:margin" fillcolor="white [3212]" strokecolor="white [3212]">
            <v:fill opacity="0"/>
            <v:textbox>
              <w:txbxContent>
                <w:p w:rsidR="009E1515" w:rsidRPr="009E1515" w:rsidRDefault="009E1515" w:rsidP="009E1515">
                  <w:pPr>
                    <w:pStyle w:val="ac"/>
                    <w:rPr>
                      <w:sz w:val="16"/>
                      <w:szCs w:val="16"/>
                    </w:rPr>
                  </w:pPr>
                  <w:r w:rsidRPr="009E1515">
                    <w:rPr>
                      <w:rFonts w:hint="eastAsia"/>
                      <w:sz w:val="16"/>
                      <w:szCs w:val="16"/>
                    </w:rPr>
                    <w:t>出所）日経優良企業ランキングより作成</w:t>
                  </w:r>
                </w:p>
              </w:txbxContent>
            </v:textbox>
          </v:shape>
        </w:pict>
      </w:r>
      <w:r w:rsidR="00EE40C6" w:rsidRPr="00EE40C6">
        <w:rPr>
          <w:rFonts w:cs="ＭＳ Ｐゴシック"/>
          <w:noProof/>
          <w:kern w:val="0"/>
          <w:szCs w:val="21"/>
        </w:rPr>
        <w:drawing>
          <wp:inline distT="0" distB="0" distL="0" distR="0">
            <wp:extent cx="5475302" cy="2544114"/>
            <wp:effectExtent l="19050" t="0" r="11098" b="8586"/>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40C6" w:rsidRDefault="00EE40C6" w:rsidP="00EE40C6">
      <w:pPr>
        <w:pStyle w:val="ac"/>
        <w:rPr>
          <w:rFonts w:cs="ＭＳ Ｐゴシック"/>
          <w:kern w:val="0"/>
          <w:szCs w:val="21"/>
        </w:rPr>
      </w:pPr>
      <w:r w:rsidRPr="00EE40C6">
        <w:rPr>
          <w:rFonts w:cs="ＭＳ Ｐゴシック"/>
          <w:noProof/>
          <w:kern w:val="0"/>
          <w:szCs w:val="21"/>
        </w:rPr>
        <w:drawing>
          <wp:inline distT="0" distB="0" distL="0" distR="0">
            <wp:extent cx="5472458" cy="2369489"/>
            <wp:effectExtent l="19050" t="0" r="13942" b="0"/>
            <wp:docPr id="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40C6" w:rsidRDefault="00EE40C6" w:rsidP="00573AF0">
      <w:pPr>
        <w:pStyle w:val="ac"/>
        <w:ind w:firstLineChars="100" w:firstLine="210"/>
        <w:rPr>
          <w:rFonts w:cs="ＭＳ Ｐゴシック"/>
          <w:kern w:val="0"/>
          <w:szCs w:val="21"/>
        </w:rPr>
      </w:pPr>
    </w:p>
    <w:p w:rsidR="009E1515" w:rsidRDefault="0053622B" w:rsidP="00573AF0">
      <w:pPr>
        <w:pStyle w:val="ac"/>
        <w:ind w:firstLineChars="100" w:firstLine="210"/>
        <w:rPr>
          <w:rFonts w:cs="ＭＳ 明朝"/>
          <w:kern w:val="0"/>
          <w:szCs w:val="21"/>
        </w:rPr>
      </w:pPr>
      <w:r w:rsidRPr="00573AF0">
        <w:rPr>
          <w:rFonts w:cs="ＭＳ Ｐゴシック"/>
          <w:kern w:val="0"/>
          <w:szCs w:val="21"/>
        </w:rPr>
        <w:br/>
      </w:r>
    </w:p>
    <w:p w:rsidR="00573AF0" w:rsidRDefault="001B4F90" w:rsidP="00573AF0">
      <w:pPr>
        <w:pStyle w:val="ac"/>
        <w:ind w:firstLineChars="100" w:firstLine="210"/>
        <w:rPr>
          <w:rFonts w:cs="ＭＳ Ｐゴシック"/>
          <w:kern w:val="0"/>
          <w:szCs w:val="21"/>
        </w:rPr>
      </w:pPr>
      <w:r>
        <w:rPr>
          <w:rFonts w:cs="ＭＳ 明朝" w:hint="eastAsia"/>
          <w:kern w:val="0"/>
          <w:szCs w:val="21"/>
        </w:rPr>
        <w:t>（３）</w:t>
      </w:r>
      <w:r w:rsidR="0053622B" w:rsidRPr="00573AF0">
        <w:rPr>
          <w:rFonts w:cs="Century"/>
          <w:kern w:val="0"/>
          <w:szCs w:val="21"/>
        </w:rPr>
        <w:t>ROE</w:t>
      </w:r>
      <w:r w:rsidR="0053622B" w:rsidRPr="00573AF0">
        <w:rPr>
          <w:rFonts w:cs="Century"/>
          <w:kern w:val="0"/>
          <w:szCs w:val="21"/>
        </w:rPr>
        <w:br/>
      </w:r>
      <w:r w:rsidR="00573AF0">
        <w:rPr>
          <w:rFonts w:cs="ＭＳ Ｐゴシック" w:hint="eastAsia"/>
          <w:kern w:val="0"/>
          <w:szCs w:val="21"/>
        </w:rPr>
        <w:t xml:space="preserve">　</w:t>
      </w:r>
    </w:p>
    <w:p w:rsidR="00573AF0" w:rsidRDefault="0053622B" w:rsidP="00573AF0">
      <w:pPr>
        <w:pStyle w:val="ac"/>
        <w:ind w:firstLineChars="100" w:firstLine="210"/>
        <w:rPr>
          <w:rFonts w:cs="ＭＳ Ｐゴシック"/>
          <w:kern w:val="0"/>
          <w:szCs w:val="21"/>
        </w:rPr>
      </w:pPr>
      <w:r w:rsidRPr="00573AF0">
        <w:rPr>
          <w:rFonts w:cs="ＭＳ Ｐゴシック"/>
          <w:kern w:val="0"/>
          <w:szCs w:val="21"/>
        </w:rPr>
        <w:t>自己資本利益率とも呼ばれ、株主の投資額に比してどれだけ効率的に利益を獲得したかを判断するのに用いられる指標である。当期純利益を、前期及び当期の自己資本の平均値で除して算出される。</w:t>
      </w:r>
      <w:r w:rsidRPr="00573AF0">
        <w:rPr>
          <w:rFonts w:cs="ＭＳ Ｐゴシック"/>
          <w:kern w:val="0"/>
          <w:szCs w:val="21"/>
        </w:rPr>
        <w:t>ROE</w:t>
      </w:r>
      <w:r w:rsidRPr="00573AF0">
        <w:rPr>
          <w:rFonts w:cs="ＭＳ Ｐゴシック"/>
          <w:kern w:val="0"/>
          <w:szCs w:val="21"/>
        </w:rPr>
        <w:t>が高いほど株主資本を効率よく使い、利益を上げて能力の高い経営がなされていることがわかる。昨今の株式市場において企業価値をはかる指標の一つとされ、主に製造業では低く、ソフトウェアや、情報通信業等の工場棟の資産が必要でない企業が高くなる傾向がある。財務レバレッジをかけることで、</w:t>
      </w:r>
      <w:r w:rsidRPr="00573AF0">
        <w:rPr>
          <w:rFonts w:cs="ＭＳ Ｐゴシック"/>
          <w:kern w:val="0"/>
          <w:szCs w:val="21"/>
        </w:rPr>
        <w:t>ROE</w:t>
      </w:r>
      <w:r w:rsidRPr="00573AF0">
        <w:rPr>
          <w:rFonts w:cs="ＭＳ Ｐゴシック"/>
          <w:kern w:val="0"/>
          <w:szCs w:val="21"/>
        </w:rPr>
        <w:t>を高める事も出来るので、自己資本比率を参照しながら経営を判断する必要がある。全国平均は</w:t>
      </w:r>
      <w:r w:rsidRPr="00573AF0">
        <w:rPr>
          <w:rFonts w:cs="ＭＳ Ｐゴシック"/>
          <w:kern w:val="0"/>
          <w:szCs w:val="21"/>
        </w:rPr>
        <w:t>12.53</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13.26</w:t>
      </w:r>
      <w:r w:rsidRPr="00573AF0">
        <w:rPr>
          <w:rFonts w:cs="ＭＳ Ｐゴシック"/>
          <w:kern w:val="0"/>
          <w:szCs w:val="21"/>
        </w:rPr>
        <w:t>％となり、最高値は第一中央汽船（海運業）の</w:t>
      </w:r>
      <w:r w:rsidRPr="00573AF0">
        <w:rPr>
          <w:rFonts w:cs="ＭＳ Ｐゴシック"/>
          <w:kern w:val="0"/>
          <w:szCs w:val="21"/>
        </w:rPr>
        <w:t>49.19</w:t>
      </w:r>
      <w:r w:rsidRPr="00573AF0">
        <w:rPr>
          <w:rFonts w:cs="ＭＳ Ｐゴシック"/>
          <w:kern w:val="0"/>
          <w:szCs w:val="21"/>
        </w:rPr>
        <w:t>％と非常に高い。また</w:t>
      </w:r>
      <w:r w:rsidRPr="00573AF0">
        <w:rPr>
          <w:rFonts w:cs="ＭＳ Ｐゴシック"/>
          <w:kern w:val="0"/>
          <w:szCs w:val="21"/>
        </w:rPr>
        <w:t>ROE20%</w:t>
      </w:r>
      <w:r w:rsidRPr="00573AF0">
        <w:rPr>
          <w:rFonts w:cs="ＭＳ Ｐゴシック"/>
          <w:kern w:val="0"/>
          <w:szCs w:val="21"/>
        </w:rPr>
        <w:t>以上の突出して高い企業も多く、業種としては海運業、サービス業、情報・通信業が中心となり、関東の産業構造がここでもよくわかる。中部では、平均値は</w:t>
      </w:r>
      <w:r w:rsidRPr="00573AF0">
        <w:rPr>
          <w:rFonts w:cs="ＭＳ Ｐゴシック"/>
          <w:kern w:val="0"/>
          <w:szCs w:val="21"/>
        </w:rPr>
        <w:t>10.86</w:t>
      </w:r>
      <w:r w:rsidRPr="00573AF0">
        <w:rPr>
          <w:rFonts w:cs="ＭＳ Ｐゴシック"/>
          <w:kern w:val="0"/>
          <w:szCs w:val="21"/>
        </w:rPr>
        <w:t>％となり、最高値はトヨタ紡績の</w:t>
      </w:r>
      <w:r w:rsidRPr="00573AF0">
        <w:rPr>
          <w:rFonts w:cs="ＭＳ Ｐゴシック"/>
          <w:kern w:val="0"/>
          <w:szCs w:val="21"/>
        </w:rPr>
        <w:t>23.46</w:t>
      </w:r>
      <w:r w:rsidRPr="00573AF0">
        <w:rPr>
          <w:rFonts w:cs="ＭＳ Ｐゴシック"/>
          <w:kern w:val="0"/>
          <w:szCs w:val="21"/>
        </w:rPr>
        <w:t>％となる。</w:t>
      </w:r>
      <w:r w:rsidRPr="00573AF0">
        <w:rPr>
          <w:rFonts w:cs="ＭＳ Ｐゴシック"/>
          <w:kern w:val="0"/>
          <w:szCs w:val="21"/>
        </w:rPr>
        <w:t>ROE10-15</w:t>
      </w:r>
      <w:r w:rsidRPr="00573AF0">
        <w:rPr>
          <w:rFonts w:cs="ＭＳ Ｐゴシック"/>
          <w:kern w:val="0"/>
          <w:szCs w:val="21"/>
        </w:rPr>
        <w:t>％の企業群が多く、業種としては輸送用機器、電気機器といった製造業が中心である。関西では、平均値は</w:t>
      </w:r>
      <w:r w:rsidRPr="00573AF0">
        <w:rPr>
          <w:rFonts w:cs="ＭＳ Ｐゴシック"/>
          <w:kern w:val="0"/>
          <w:szCs w:val="21"/>
        </w:rPr>
        <w:t>11.08</w:t>
      </w:r>
      <w:r w:rsidRPr="00573AF0">
        <w:rPr>
          <w:rFonts w:cs="ＭＳ Ｐゴシック"/>
          <w:kern w:val="0"/>
          <w:szCs w:val="21"/>
        </w:rPr>
        <w:t>％となり、最高値は伊藤忠商事（卸売業）の</w:t>
      </w:r>
      <w:r w:rsidRPr="00573AF0">
        <w:rPr>
          <w:rFonts w:cs="ＭＳ Ｐゴシック"/>
          <w:kern w:val="0"/>
          <w:szCs w:val="21"/>
        </w:rPr>
        <w:t>23.32</w:t>
      </w:r>
      <w:r w:rsidRPr="00573AF0">
        <w:rPr>
          <w:rFonts w:cs="ＭＳ Ｐゴシック"/>
          <w:kern w:val="0"/>
          <w:szCs w:val="21"/>
        </w:rPr>
        <w:t>％となる。</w:t>
      </w:r>
      <w:r w:rsidRPr="00573AF0">
        <w:rPr>
          <w:rFonts w:cs="ＭＳ Ｐゴシック"/>
          <w:kern w:val="0"/>
          <w:szCs w:val="21"/>
        </w:rPr>
        <w:t>ROE</w:t>
      </w:r>
      <w:r w:rsidRPr="00573AF0">
        <w:rPr>
          <w:rFonts w:cs="ＭＳ Ｐゴシック"/>
          <w:kern w:val="0"/>
          <w:szCs w:val="21"/>
        </w:rPr>
        <w:t>が全国平均以上の企業数を見ると、関東企業は約半数以上が上回っているのに対し、関西企業は約</w:t>
      </w:r>
      <w:r w:rsidRPr="00573AF0">
        <w:rPr>
          <w:rFonts w:cs="ＭＳ Ｐゴシック"/>
          <w:kern w:val="0"/>
          <w:szCs w:val="21"/>
        </w:rPr>
        <w:t>3</w:t>
      </w:r>
      <w:r w:rsidRPr="00573AF0">
        <w:rPr>
          <w:rFonts w:cs="ＭＳ Ｐゴシック"/>
          <w:kern w:val="0"/>
          <w:szCs w:val="21"/>
        </w:rPr>
        <w:t>分の</w:t>
      </w:r>
      <w:r w:rsidRPr="00573AF0">
        <w:rPr>
          <w:rFonts w:cs="ＭＳ Ｐゴシック"/>
          <w:kern w:val="0"/>
          <w:szCs w:val="21"/>
        </w:rPr>
        <w:t>1</w:t>
      </w:r>
      <w:r w:rsidRPr="00573AF0">
        <w:rPr>
          <w:rFonts w:cs="ＭＳ Ｐゴシック"/>
          <w:kern w:val="0"/>
          <w:szCs w:val="21"/>
        </w:rPr>
        <w:t>しか上回っていない。これは産業構造の違いで、関西にはが特化した産業がないことが原因に挙げられる。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（４）</w:t>
      </w:r>
      <w:r w:rsidR="00F8739F">
        <w:rPr>
          <w:rFonts w:cs="ＭＳ 明朝" w:hint="eastAsia"/>
          <w:kern w:val="0"/>
          <w:szCs w:val="21"/>
        </w:rPr>
        <w:t xml:space="preserve">　</w:t>
      </w:r>
      <w:r w:rsidRPr="00573AF0">
        <w:rPr>
          <w:rFonts w:cs="ＭＳ Ｐゴシック"/>
          <w:kern w:val="0"/>
          <w:szCs w:val="21"/>
        </w:rPr>
        <w:t>自己資本比率</w:t>
      </w:r>
      <w:r w:rsidRPr="00573AF0">
        <w:rPr>
          <w:rFonts w:cs="ＭＳ Ｐゴシック"/>
          <w:kern w:val="0"/>
          <w:szCs w:val="21"/>
        </w:rPr>
        <w:br/>
      </w:r>
      <w:r w:rsidR="00573AF0">
        <w:rPr>
          <w:rFonts w:cs="ＭＳ Ｐゴシック" w:hint="eastAsia"/>
          <w:kern w:val="0"/>
          <w:szCs w:val="21"/>
        </w:rPr>
        <w:t xml:space="preserve">　</w:t>
      </w:r>
    </w:p>
    <w:p w:rsidR="00EE40C6" w:rsidRDefault="0053622B" w:rsidP="00115C17">
      <w:pPr>
        <w:pStyle w:val="ac"/>
        <w:ind w:firstLineChars="100" w:firstLine="210"/>
        <w:rPr>
          <w:rFonts w:cs="ＭＳ Ｐゴシック"/>
          <w:kern w:val="0"/>
          <w:szCs w:val="21"/>
        </w:rPr>
      </w:pPr>
      <w:r w:rsidRPr="00573AF0">
        <w:rPr>
          <w:rFonts w:cs="ＭＳ Ｐゴシック"/>
          <w:kern w:val="0"/>
          <w:szCs w:val="21"/>
        </w:rPr>
        <w:t>自己資本比率とは総資本に対する自己資本の比率である。一般に自己資本比率が高いほど負債が少ないことになり、結果として借入金利の負担がないこと、資金の返済期限がないため資金繰りが楽である等の理由から健全な経営であるといわれる。日系企業は借金を避ける傾向が強く海外の企業に比べると、自己資本比率が高い場合が多い。しかしながら、本来株主資本は多くのリターンを要求される資本であり、財務面での効率性から考えると、財務レバレッジをかけ、倒産リスクを加味しながら、なるべく負債によって資金調達する方が財務効率は良い。全国平均は</w:t>
      </w:r>
      <w:r w:rsidRPr="00573AF0">
        <w:rPr>
          <w:rFonts w:cs="ＭＳ Ｐゴシック"/>
          <w:kern w:val="0"/>
          <w:szCs w:val="21"/>
        </w:rPr>
        <w:t>58.94%</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57.25</w:t>
      </w:r>
      <w:r w:rsidRPr="00573AF0">
        <w:rPr>
          <w:rFonts w:cs="ＭＳ Ｐゴシック"/>
          <w:kern w:val="0"/>
          <w:szCs w:val="21"/>
        </w:rPr>
        <w:t>％となり、最高値はツツミ（宝飾品・貴金属小売り）の</w:t>
      </w:r>
      <w:r w:rsidRPr="00573AF0">
        <w:rPr>
          <w:rFonts w:cs="ＭＳ Ｐゴシック"/>
          <w:kern w:val="0"/>
          <w:szCs w:val="21"/>
        </w:rPr>
        <w:t>95.84%</w:t>
      </w:r>
      <w:r w:rsidRPr="00573AF0">
        <w:rPr>
          <w:rFonts w:cs="ＭＳ Ｐゴシック"/>
          <w:kern w:val="0"/>
          <w:szCs w:val="21"/>
        </w:rPr>
        <w:t>となる。</w:t>
      </w:r>
      <w:r w:rsidRPr="00573AF0">
        <w:rPr>
          <w:rFonts w:cs="ＭＳ Ｐゴシック"/>
          <w:kern w:val="0"/>
          <w:szCs w:val="21"/>
        </w:rPr>
        <w:t>80%</w:t>
      </w:r>
      <w:r w:rsidRPr="00573AF0">
        <w:rPr>
          <w:rFonts w:cs="ＭＳ Ｐゴシック"/>
          <w:kern w:val="0"/>
          <w:szCs w:val="21"/>
        </w:rPr>
        <w:t>以上の企業群の業種としては、情報・通信業、医薬品が中心となり、一方</w:t>
      </w:r>
      <w:r w:rsidRPr="00573AF0">
        <w:rPr>
          <w:rFonts w:cs="ＭＳ Ｐゴシック"/>
          <w:kern w:val="0"/>
          <w:szCs w:val="21"/>
        </w:rPr>
        <w:t>30%</w:t>
      </w:r>
      <w:r w:rsidRPr="00573AF0">
        <w:rPr>
          <w:rFonts w:cs="ＭＳ Ｐゴシック"/>
          <w:kern w:val="0"/>
          <w:szCs w:val="21"/>
        </w:rPr>
        <w:t>以下の企業群の業種としては卸売業、陸・海・空運業、電気機器が中心となる。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59.80</w:t>
      </w:r>
      <w:r w:rsidRPr="00573AF0">
        <w:rPr>
          <w:rFonts w:cs="ＭＳ Ｐゴシック"/>
          <w:kern w:val="0"/>
          <w:szCs w:val="21"/>
        </w:rPr>
        <w:t>％となり、最高値はニッセイ（機械）の</w:t>
      </w:r>
      <w:r w:rsidRPr="00573AF0">
        <w:rPr>
          <w:rFonts w:cs="ＭＳ Ｐゴシック"/>
          <w:kern w:val="0"/>
          <w:szCs w:val="21"/>
        </w:rPr>
        <w:t>90.57</w:t>
      </w:r>
      <w:r w:rsidRPr="00573AF0">
        <w:rPr>
          <w:rFonts w:cs="ＭＳ Ｐゴシック"/>
          <w:kern w:val="0"/>
          <w:szCs w:val="21"/>
        </w:rPr>
        <w:t>％となる。電器機器の企業群が高く、輸送用機器の企業群が低い傾向にある。関西では、平均値は</w:t>
      </w:r>
      <w:r w:rsidRPr="00573AF0">
        <w:rPr>
          <w:rFonts w:cs="ＭＳ Ｐゴシック"/>
          <w:kern w:val="0"/>
          <w:szCs w:val="21"/>
        </w:rPr>
        <w:t>62.78</w:t>
      </w:r>
      <w:r w:rsidRPr="00573AF0">
        <w:rPr>
          <w:rFonts w:cs="ＭＳ Ｐゴシック"/>
          <w:kern w:val="0"/>
          <w:szCs w:val="21"/>
        </w:rPr>
        <w:t>％となり、最高値はキーエンス（電気機器）の</w:t>
      </w:r>
      <w:r w:rsidRPr="00573AF0">
        <w:rPr>
          <w:rFonts w:cs="ＭＳ Ｐゴシック"/>
          <w:kern w:val="0"/>
          <w:szCs w:val="21"/>
        </w:rPr>
        <w:t>91.85</w:t>
      </w:r>
      <w:r w:rsidRPr="00573AF0">
        <w:rPr>
          <w:rFonts w:cs="ＭＳ Ｐゴシック"/>
          <w:kern w:val="0"/>
          <w:szCs w:val="21"/>
        </w:rPr>
        <w:t>％と、関東・中部の比べて高い。電器機器、医薬品の企業群が総じて全国平均を上回っている。そのことから、製薬会社の武田薬品工業が</w:t>
      </w:r>
      <w:r w:rsidRPr="00573AF0">
        <w:rPr>
          <w:rFonts w:cs="ＭＳ Ｐゴシック"/>
          <w:kern w:val="0"/>
          <w:szCs w:val="21"/>
        </w:rPr>
        <w:t>2008</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月に米国のバイオベンチャーであるミレニアム・ファーマシューティカルズを業界過去最高額の約</w:t>
      </w:r>
      <w:r w:rsidRPr="00573AF0">
        <w:rPr>
          <w:rFonts w:cs="ＭＳ Ｐゴシック"/>
          <w:kern w:val="0"/>
          <w:szCs w:val="21"/>
        </w:rPr>
        <w:t>88</w:t>
      </w:r>
      <w:r w:rsidRPr="00573AF0">
        <w:rPr>
          <w:rFonts w:cs="ＭＳ Ｐゴシック"/>
          <w:kern w:val="0"/>
          <w:szCs w:val="21"/>
        </w:rPr>
        <w:t>億ドルで買収したり、塩野義製薬が同年</w:t>
      </w:r>
      <w:r w:rsidRPr="00573AF0">
        <w:rPr>
          <w:rFonts w:cs="ＭＳ Ｐゴシック"/>
          <w:kern w:val="0"/>
          <w:szCs w:val="21"/>
        </w:rPr>
        <w:t>9</w:t>
      </w:r>
      <w:r w:rsidRPr="00573AF0">
        <w:rPr>
          <w:rFonts w:cs="ＭＳ Ｐゴシック"/>
          <w:kern w:val="0"/>
          <w:szCs w:val="21"/>
        </w:rPr>
        <w:t>月に米国の医薬品会社、サイエル・ファーマを約</w:t>
      </w:r>
      <w:r w:rsidRPr="00573AF0">
        <w:rPr>
          <w:rFonts w:cs="ＭＳ Ｐゴシック"/>
          <w:kern w:val="0"/>
          <w:szCs w:val="21"/>
        </w:rPr>
        <w:t>14</w:t>
      </w:r>
      <w:r w:rsidRPr="00573AF0">
        <w:rPr>
          <w:rFonts w:cs="ＭＳ Ｐゴシック"/>
          <w:kern w:val="0"/>
          <w:szCs w:val="21"/>
        </w:rPr>
        <w:t>億ドルで買収したりと、貯め込んだ内部留保を有効活用し、世界最大の医薬品市場である米国で攻勢を仕掛けている。</w:t>
      </w:r>
    </w:p>
    <w:p w:rsidR="00EE40C6" w:rsidRDefault="00EE40C6" w:rsidP="00EE40C6">
      <w:pPr>
        <w:pStyle w:val="ac"/>
        <w:ind w:firstLineChars="100" w:firstLine="210"/>
        <w:rPr>
          <w:rFonts w:cs="ＭＳ Ｐゴシック"/>
          <w:kern w:val="0"/>
          <w:szCs w:val="21"/>
        </w:rPr>
      </w:pPr>
    </w:p>
    <w:p w:rsidR="00EE40C6" w:rsidRPr="009E1515" w:rsidRDefault="00EE40C6" w:rsidP="00EE40C6">
      <w:pPr>
        <w:pStyle w:val="ac"/>
        <w:ind w:firstLineChars="100" w:firstLine="210"/>
        <w:rPr>
          <w:rFonts w:cs="ＭＳ Ｐゴシック"/>
          <w:color w:val="FF0000"/>
          <w:kern w:val="0"/>
          <w:szCs w:val="21"/>
        </w:rPr>
      </w:pPr>
      <w:r w:rsidRPr="009E1515">
        <w:rPr>
          <w:rFonts w:cs="ＭＳ Ｐゴシック" w:hint="eastAsia"/>
          <w:color w:val="FF0000"/>
          <w:kern w:val="0"/>
          <w:szCs w:val="21"/>
        </w:rPr>
        <w:t>（図）三地域の</w:t>
      </w:r>
      <w:r w:rsidRPr="009E1515">
        <w:rPr>
          <w:rFonts w:cs="ＭＳ Ｐゴシック" w:hint="eastAsia"/>
          <w:color w:val="FF0000"/>
          <w:kern w:val="0"/>
          <w:szCs w:val="21"/>
        </w:rPr>
        <w:t>PER</w:t>
      </w:r>
      <w:r w:rsidRPr="009E1515">
        <w:rPr>
          <w:rFonts w:cs="ＭＳ Ｐゴシック" w:hint="eastAsia"/>
          <w:color w:val="FF0000"/>
          <w:kern w:val="0"/>
          <w:szCs w:val="21"/>
        </w:rPr>
        <w:t>と</w:t>
      </w:r>
      <w:r w:rsidRPr="009E1515">
        <w:rPr>
          <w:rFonts w:cs="ＭＳ Ｐゴシック" w:hint="eastAsia"/>
          <w:color w:val="FF0000"/>
          <w:kern w:val="0"/>
          <w:szCs w:val="21"/>
        </w:rPr>
        <w:t>PBR</w:t>
      </w:r>
      <w:r w:rsidRPr="009E1515">
        <w:rPr>
          <w:rFonts w:cs="ＭＳ Ｐゴシック" w:hint="eastAsia"/>
          <w:color w:val="FF0000"/>
          <w:kern w:val="0"/>
          <w:szCs w:val="21"/>
        </w:rPr>
        <w:t>の散布図比較</w:t>
      </w:r>
    </w:p>
    <w:p w:rsidR="00EE40C6" w:rsidRDefault="0053622B" w:rsidP="00115C17">
      <w:pPr>
        <w:pStyle w:val="ac"/>
        <w:ind w:firstLineChars="100" w:firstLine="210"/>
        <w:rPr>
          <w:rFonts w:cs="ＭＳ Ｐゴシック"/>
          <w:kern w:val="0"/>
          <w:szCs w:val="21"/>
        </w:rPr>
      </w:pPr>
      <w:r w:rsidRPr="009E1515">
        <w:rPr>
          <w:rFonts w:cs="ＭＳ Ｐゴシック"/>
          <w:color w:val="FF0000"/>
          <w:kern w:val="0"/>
          <w:szCs w:val="21"/>
        </w:rPr>
        <w:br/>
      </w:r>
    </w:p>
    <w:p w:rsidR="00EE40C6" w:rsidRDefault="00383494" w:rsidP="00EE40C6">
      <w:pPr>
        <w:pStyle w:val="ac"/>
        <w:rPr>
          <w:rFonts w:cs="ＭＳ Ｐゴシック"/>
          <w:kern w:val="0"/>
          <w:szCs w:val="21"/>
        </w:rPr>
      </w:pPr>
      <w:r>
        <w:rPr>
          <w:rFonts w:cs="ＭＳ Ｐゴシック"/>
          <w:noProof/>
          <w:kern w:val="0"/>
          <w:szCs w:val="21"/>
        </w:rPr>
        <w:pict>
          <v:shape id="_x0000_s2055" type="#_x0000_t202" style="position:absolute;left:0;text-align:left;margin-left:252.25pt;margin-top:161.2pt;width:164.25pt;height:25.95pt;z-index:251662336;mso-height-percent:200;mso-height-percent:200;mso-width-relative:margin;mso-height-relative:margin" strokecolor="white [3212]">
            <v:textbox style="mso-fit-shape-to-text:t">
              <w:txbxContent>
                <w:p w:rsidR="00BE78A0" w:rsidRPr="00BE78A0" w:rsidRDefault="00BE78A0">
                  <w:pPr>
                    <w:rPr>
                      <w:sz w:val="16"/>
                      <w:szCs w:val="16"/>
                    </w:rPr>
                  </w:pPr>
                  <w:r w:rsidRPr="00BE78A0">
                    <w:rPr>
                      <w:rFonts w:hint="eastAsia"/>
                      <w:sz w:val="16"/>
                      <w:szCs w:val="16"/>
                    </w:rPr>
                    <w:t>出所）日本優良企業ランキングより作成</w:t>
                  </w:r>
                </w:p>
              </w:txbxContent>
            </v:textbox>
          </v:shape>
        </w:pict>
      </w:r>
      <w:r w:rsidR="00EE40C6" w:rsidRPr="00EE40C6">
        <w:rPr>
          <w:rFonts w:cs="ＭＳ Ｐゴシック"/>
          <w:noProof/>
          <w:kern w:val="0"/>
          <w:szCs w:val="21"/>
        </w:rPr>
        <w:drawing>
          <wp:inline distT="0" distB="0" distL="0" distR="0">
            <wp:extent cx="5324227" cy="2305878"/>
            <wp:effectExtent l="19050" t="0" r="9773" b="0"/>
            <wp:docPr id="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5C17" w:rsidRDefault="00EE40C6" w:rsidP="00EE40C6">
      <w:pPr>
        <w:pStyle w:val="ac"/>
        <w:rPr>
          <w:kern w:val="0"/>
        </w:rPr>
      </w:pPr>
      <w:r w:rsidRPr="00EE40C6">
        <w:rPr>
          <w:rFonts w:cs="ＭＳ Ｐゴシック"/>
          <w:noProof/>
          <w:kern w:val="0"/>
          <w:szCs w:val="21"/>
        </w:rPr>
        <w:drawing>
          <wp:inline distT="0" distB="0" distL="0" distR="0">
            <wp:extent cx="5322653" cy="2194560"/>
            <wp:effectExtent l="19050" t="0" r="11347" b="0"/>
            <wp:docPr id="7"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3622B" w:rsidRPr="00573AF0">
        <w:rPr>
          <w:rFonts w:cs="ＭＳ Ｐゴシック"/>
          <w:kern w:val="0"/>
          <w:szCs w:val="21"/>
        </w:rPr>
        <w:br/>
      </w:r>
      <w:r w:rsidR="00573AF0">
        <w:rPr>
          <w:rFonts w:cs="ＭＳ Ｐゴシック" w:hint="eastAsia"/>
          <w:kern w:val="0"/>
          <w:szCs w:val="21"/>
        </w:rPr>
        <w:t xml:space="preserve">　</w:t>
      </w:r>
      <w:r w:rsidR="0053622B" w:rsidRPr="00573AF0">
        <w:rPr>
          <w:rFonts w:cs="ＭＳ Ｐゴシック"/>
          <w:kern w:val="0"/>
          <w:szCs w:val="21"/>
        </w:rPr>
        <w:t>以上、</w:t>
      </w:r>
      <w:r w:rsidR="0053622B" w:rsidRPr="00573AF0">
        <w:rPr>
          <w:rFonts w:cs="ＭＳ Ｐゴシック"/>
          <w:kern w:val="0"/>
          <w:szCs w:val="21"/>
        </w:rPr>
        <w:t>4</w:t>
      </w:r>
      <w:r w:rsidR="0053622B" w:rsidRPr="00573AF0">
        <w:rPr>
          <w:rFonts w:cs="ＭＳ Ｐゴシック"/>
          <w:kern w:val="0"/>
          <w:szCs w:val="21"/>
        </w:rPr>
        <w:t>つの指標（</w:t>
      </w:r>
      <w:r w:rsidR="0053622B" w:rsidRPr="00573AF0">
        <w:rPr>
          <w:rFonts w:cs="ＭＳ Ｐゴシック"/>
          <w:kern w:val="0"/>
          <w:szCs w:val="21"/>
        </w:rPr>
        <w:t>PER</w:t>
      </w:r>
      <w:r w:rsidR="0053622B" w:rsidRPr="00573AF0">
        <w:rPr>
          <w:rFonts w:cs="ＭＳ Ｐゴシック"/>
          <w:kern w:val="0"/>
          <w:szCs w:val="21"/>
        </w:rPr>
        <w:t>、</w:t>
      </w:r>
      <w:r w:rsidR="0053622B" w:rsidRPr="00573AF0">
        <w:rPr>
          <w:rFonts w:cs="ＭＳ Ｐゴシック"/>
          <w:kern w:val="0"/>
          <w:szCs w:val="21"/>
        </w:rPr>
        <w:t>PBR,ROE,</w:t>
      </w:r>
      <w:r w:rsidR="0053622B" w:rsidRPr="00573AF0">
        <w:rPr>
          <w:rFonts w:cs="ＭＳ Ｐゴシック"/>
          <w:kern w:val="0"/>
          <w:szCs w:val="21"/>
        </w:rPr>
        <w:t>自己資本比率）より関西企業の優位性を見出そうとしてきたが、自己資本比率で他地域と比較して高いことがわかった。しかし総じて見ると、関西に突出して高い部門はなく、関東と比較すると産業構造の違いから利益率の低い企業群が多いことがわかった。これは関西企業が関東企業のように利益率の高い情報・通信業、サービス業</w:t>
      </w:r>
      <w:r w:rsidR="0053622B" w:rsidRPr="00573AF0">
        <w:rPr>
          <w:rFonts w:cs="ＭＳ Ｐゴシック" w:hint="eastAsia"/>
          <w:kern w:val="0"/>
          <w:szCs w:val="21"/>
        </w:rPr>
        <w:t>などの</w:t>
      </w:r>
      <w:r w:rsidR="0053622B" w:rsidRPr="00573AF0">
        <w:rPr>
          <w:rFonts w:cs="ＭＳ Ｐゴシック"/>
          <w:kern w:val="0"/>
          <w:szCs w:val="21"/>
        </w:rPr>
        <w:t>産業構造</w:t>
      </w:r>
      <w:r w:rsidR="0053622B" w:rsidRPr="00573AF0">
        <w:rPr>
          <w:rFonts w:cs="ＭＳ Ｐゴシック" w:hint="eastAsia"/>
          <w:kern w:val="0"/>
          <w:szCs w:val="21"/>
        </w:rPr>
        <w:t>に依存しておらず</w:t>
      </w:r>
      <w:r w:rsidR="00A51021" w:rsidRPr="00573AF0">
        <w:rPr>
          <w:rFonts w:cs="ＭＳ Ｐゴシック" w:hint="eastAsia"/>
          <w:kern w:val="0"/>
          <w:szCs w:val="21"/>
        </w:rPr>
        <w:t>、利益率の低い製造業に強く依存していることを示している。そして、マクロ的にみた際に</w:t>
      </w:r>
      <w:r w:rsidR="00A51021" w:rsidRPr="00573AF0">
        <w:rPr>
          <w:rFonts w:hint="eastAsia"/>
        </w:rPr>
        <w:t>特出した産業が関西に存在しないことが関西の脆弱性の原因となっている。</w:t>
      </w:r>
    </w:p>
    <w:p w:rsidR="00115C17" w:rsidRDefault="00115C17" w:rsidP="00115C17">
      <w:pPr>
        <w:pStyle w:val="ac"/>
        <w:ind w:firstLineChars="100" w:firstLine="210"/>
        <w:rPr>
          <w:kern w:val="0"/>
        </w:rPr>
      </w:pPr>
    </w:p>
    <w:p w:rsidR="00A51021" w:rsidRPr="00115C17" w:rsidRDefault="00115C17" w:rsidP="00115C17">
      <w:pPr>
        <w:pStyle w:val="ac"/>
        <w:ind w:firstLineChars="100" w:firstLine="210"/>
        <w:rPr>
          <w:kern w:val="0"/>
        </w:rPr>
      </w:pPr>
      <w:r>
        <w:rPr>
          <w:rFonts w:hint="eastAsia"/>
          <w:kern w:val="0"/>
        </w:rPr>
        <w:t>さて、</w:t>
      </w:r>
      <w:r w:rsidRPr="00573AF0">
        <w:rPr>
          <w:kern w:val="0"/>
        </w:rPr>
        <w:t>ここまで関西産業の弱点と</w:t>
      </w:r>
      <w:r>
        <w:rPr>
          <w:rFonts w:hint="eastAsia"/>
          <w:kern w:val="0"/>
        </w:rPr>
        <w:t>特徴のなさを述べてきたのであるが</w:t>
      </w:r>
      <w:r w:rsidRPr="00573AF0">
        <w:rPr>
          <w:kern w:val="0"/>
        </w:rPr>
        <w:t>、これでは関西の強みは何もな</w:t>
      </w:r>
      <w:r>
        <w:rPr>
          <w:rFonts w:hint="eastAsia"/>
          <w:kern w:val="0"/>
        </w:rPr>
        <w:t>く将来性が期待できなさそうである。</w:t>
      </w:r>
      <w:r w:rsidRPr="00573AF0">
        <w:rPr>
          <w:kern w:val="0"/>
        </w:rPr>
        <w:t>そこで、関西産業の強みとこれから期待できる分野を明らかにしてみようと思う。</w:t>
      </w:r>
      <w:r w:rsidR="00A51021" w:rsidRPr="00573AF0">
        <w:rPr>
          <w:rFonts w:hint="eastAsia"/>
        </w:rPr>
        <w:t>次の節では関西を牽引しているリーディング産業</w:t>
      </w:r>
      <w:r>
        <w:rPr>
          <w:rFonts w:hint="eastAsia"/>
        </w:rPr>
        <w:t>を具体的にあげ、関西産業の今後の可能性を検証する</w:t>
      </w:r>
      <w:r w:rsidR="00A51021" w:rsidRPr="00573AF0">
        <w:rPr>
          <w:rFonts w:hint="eastAsia"/>
        </w:rPr>
        <w:t>。</w:t>
      </w:r>
    </w:p>
    <w:p w:rsidR="00F8739F" w:rsidRDefault="0053622B" w:rsidP="00F8739F">
      <w:pPr>
        <w:pStyle w:val="ac"/>
        <w:rPr>
          <w:rFonts w:cs="ＭＳ Ｐゴシック"/>
          <w:kern w:val="0"/>
          <w:szCs w:val="21"/>
        </w:rPr>
      </w:pPr>
      <w:r w:rsidRPr="00573AF0">
        <w:rPr>
          <w:rFonts w:cs="ＭＳ Ｐゴシック"/>
          <w:kern w:val="0"/>
          <w:szCs w:val="21"/>
        </w:rPr>
        <w:br/>
      </w:r>
      <w:r w:rsidRPr="00573AF0">
        <w:rPr>
          <w:rFonts w:cs="ＭＳ Ｐゴシック"/>
          <w:kern w:val="0"/>
          <w:szCs w:val="21"/>
        </w:rPr>
        <w:br/>
      </w:r>
    </w:p>
    <w:p w:rsidR="0053622B" w:rsidRPr="00F8739F" w:rsidRDefault="0053622B" w:rsidP="001B4F90">
      <w:pPr>
        <w:pStyle w:val="ac"/>
        <w:numPr>
          <w:ilvl w:val="0"/>
          <w:numId w:val="3"/>
        </w:numPr>
        <w:rPr>
          <w:b/>
          <w:bCs/>
          <w:kern w:val="0"/>
          <w:szCs w:val="21"/>
        </w:rPr>
      </w:pPr>
      <w:r w:rsidRPr="00F8739F">
        <w:rPr>
          <w:b/>
          <w:bCs/>
          <w:kern w:val="0"/>
          <w:szCs w:val="21"/>
        </w:rPr>
        <w:t>リーディング産業分析</w:t>
      </w:r>
    </w:p>
    <w:p w:rsidR="00BC34F8" w:rsidRDefault="00BC34F8" w:rsidP="001B4F90">
      <w:pPr>
        <w:pStyle w:val="ac"/>
        <w:rPr>
          <w:bCs/>
          <w:kern w:val="0"/>
          <w:szCs w:val="21"/>
        </w:rPr>
      </w:pPr>
    </w:p>
    <w:p w:rsidR="00F8739F" w:rsidRDefault="001B4F90" w:rsidP="001B4F90">
      <w:pPr>
        <w:pStyle w:val="ac"/>
        <w:rPr>
          <w:kern w:val="0"/>
          <w:szCs w:val="21"/>
        </w:rPr>
      </w:pPr>
      <w:r>
        <w:rPr>
          <w:rFonts w:hint="eastAsia"/>
          <w:kern w:val="0"/>
          <w:szCs w:val="21"/>
        </w:rPr>
        <w:t>（１）</w:t>
      </w:r>
      <w:r w:rsidR="0053622B" w:rsidRPr="00573AF0">
        <w:rPr>
          <w:kern w:val="0"/>
          <w:szCs w:val="21"/>
        </w:rPr>
        <w:t>太陽光発電</w:t>
      </w:r>
    </w:p>
    <w:p w:rsidR="00BC34F8" w:rsidRDefault="00BC34F8" w:rsidP="00F8739F">
      <w:pPr>
        <w:pStyle w:val="ac"/>
        <w:rPr>
          <w:kern w:val="0"/>
          <w:szCs w:val="21"/>
        </w:rPr>
      </w:pPr>
    </w:p>
    <w:p w:rsidR="00573AF0" w:rsidRDefault="00BC34F8" w:rsidP="00F8739F">
      <w:pPr>
        <w:pStyle w:val="ac"/>
        <w:rPr>
          <w:kern w:val="0"/>
          <w:szCs w:val="21"/>
        </w:rPr>
      </w:pPr>
      <w:r>
        <w:rPr>
          <w:rFonts w:hint="eastAsia"/>
          <w:kern w:val="0"/>
          <w:szCs w:val="21"/>
        </w:rPr>
        <w:t>①</w:t>
      </w:r>
      <w:r>
        <w:rPr>
          <w:kern w:val="0"/>
          <w:szCs w:val="21"/>
        </w:rPr>
        <w:t>現状分析</w:t>
      </w:r>
      <w:r w:rsidR="0053622B" w:rsidRPr="00573AF0">
        <w:rPr>
          <w:kern w:val="0"/>
          <w:szCs w:val="21"/>
        </w:rPr>
        <w:br/>
      </w:r>
      <w:r w:rsidR="0053622B" w:rsidRPr="00573AF0">
        <w:rPr>
          <w:kern w:val="0"/>
          <w:szCs w:val="21"/>
        </w:rPr>
        <w:t xml:space="preserve">　</w:t>
      </w:r>
    </w:p>
    <w:p w:rsidR="00573AF0" w:rsidRPr="00C23212" w:rsidRDefault="0053622B" w:rsidP="00573AF0">
      <w:pPr>
        <w:pStyle w:val="ac"/>
        <w:ind w:firstLineChars="100" w:firstLine="210"/>
        <w:rPr>
          <w:kern w:val="0"/>
          <w:szCs w:val="21"/>
        </w:rPr>
      </w:pPr>
      <w:r w:rsidRPr="00573AF0">
        <w:rPr>
          <w:kern w:val="0"/>
          <w:szCs w:val="21"/>
        </w:rPr>
        <w:t>昨今、エネルギー供給の不足や、高コスト化が経済の停滞を引き起こしており、石油等の化石燃料に依存した社会構造からの脱却が必要とされている。また地球規模での温暖化が進んでおり、京都議定書等の制限により、</w:t>
      </w:r>
      <w:r w:rsidRPr="00573AF0">
        <w:rPr>
          <w:kern w:val="0"/>
          <w:szCs w:val="21"/>
        </w:rPr>
        <w:t>CO</w:t>
      </w:r>
      <w:r w:rsidRPr="00573AF0">
        <w:rPr>
          <w:kern w:val="0"/>
          <w:szCs w:val="21"/>
        </w:rPr>
        <w:t>２排出量の少ない再生可能なエネルギーへの需要が増加している。</w:t>
      </w:r>
      <w:r w:rsidRPr="00573AF0">
        <w:rPr>
          <w:kern w:val="0"/>
          <w:szCs w:val="21"/>
        </w:rPr>
        <w:br/>
      </w:r>
      <w:r w:rsidRPr="00573AF0">
        <w:rPr>
          <w:kern w:val="0"/>
          <w:szCs w:val="21"/>
        </w:rPr>
        <w:t xml:space="preserve">　</w:t>
      </w:r>
      <w:r w:rsidR="00C23212" w:rsidRPr="00C23212">
        <w:rPr>
          <w:noProof/>
          <w:kern w:val="0"/>
          <w:szCs w:val="21"/>
        </w:rPr>
        <w:drawing>
          <wp:inline distT="0" distB="0" distL="0" distR="0">
            <wp:extent cx="4575561" cy="2441050"/>
            <wp:effectExtent l="19050" t="0" r="15489"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1947" w:rsidRDefault="0053622B" w:rsidP="00921947">
      <w:pPr>
        <w:pStyle w:val="ac"/>
        <w:ind w:firstLineChars="100" w:firstLine="210"/>
        <w:rPr>
          <w:kern w:val="0"/>
          <w:szCs w:val="21"/>
        </w:rPr>
      </w:pPr>
      <w:r w:rsidRPr="00573AF0">
        <w:rPr>
          <w:kern w:val="0"/>
          <w:szCs w:val="21"/>
        </w:rPr>
        <w:t>自然エネルギーへの投融資額は年々大幅な増加を示しており、世界各国で再生可能エネルギーへの需要が拡大しているのが見て取れる。この中でも太陽光発電は他の再生可能エネルギーより技術開発が進んでおり、設置や補修が用意であり、最も注目を集めている再生可能エネルギーとなっている。また水力発電や風力発電に比べ周辺環境への悪影響が少なく、またバイオ燃料等のように廃棄物を出さないので、低炭素社会の成長産業として、将来性が見込まれている。またシリコン系太陽パネルの原材料となるシリコンの資源量はほぼ無尽蔵と言われている。市場の急激な拡大により一時期シリコンの供給量が間に合わかったが、年々シリコン生産量も増大してきており、今後コストも低下していくと考えられる。</w:t>
      </w:r>
      <w:r w:rsidRPr="00573AF0">
        <w:rPr>
          <w:kern w:val="0"/>
          <w:szCs w:val="21"/>
        </w:rPr>
        <w:br/>
      </w:r>
      <w:r w:rsidRPr="00573AF0">
        <w:rPr>
          <w:kern w:val="0"/>
          <w:szCs w:val="21"/>
        </w:rPr>
        <w:t xml:space="preserve">　</w:t>
      </w:r>
      <w:r w:rsidR="000E089D">
        <w:rPr>
          <w:rStyle w:val="af"/>
          <w:rFonts w:ascii="Century" w:eastAsia="ＭＳ 明朝" w:hAnsi="Century" w:cs="Times New Roman"/>
        </w:rPr>
        <w:commentReference w:id="1"/>
      </w:r>
    </w:p>
    <w:tbl>
      <w:tblPr>
        <w:tblStyle w:val="14"/>
        <w:tblW w:w="0" w:type="auto"/>
        <w:tblLook w:val="0400"/>
      </w:tblPr>
      <w:tblGrid>
        <w:gridCol w:w="2390"/>
        <w:gridCol w:w="2390"/>
        <w:gridCol w:w="2390"/>
      </w:tblGrid>
      <w:tr w:rsidR="00921947" w:rsidTr="009D48EC">
        <w:trPr>
          <w:cnfStyle w:val="000000100000"/>
        </w:trPr>
        <w:tc>
          <w:tcPr>
            <w:tcW w:w="2390" w:type="dxa"/>
            <w:shd w:val="clear" w:color="auto" w:fill="548DD4" w:themeFill="text2" w:themeFillTint="99"/>
            <w:vAlign w:val="bottom"/>
          </w:tcPr>
          <w:p w:rsidR="00921947" w:rsidRDefault="00921947">
            <w:pPr>
              <w:rPr>
                <w:rFonts w:ascii="ＭＳ Ｐゴシック" w:eastAsia="ＭＳ Ｐゴシック" w:hAnsi="ＭＳ Ｐゴシック"/>
                <w:sz w:val="22"/>
              </w:rPr>
            </w:pPr>
          </w:p>
        </w:tc>
        <w:tc>
          <w:tcPr>
            <w:tcW w:w="2390" w:type="dxa"/>
            <w:shd w:val="clear" w:color="auto" w:fill="548DD4" w:themeFill="text2" w:themeFillTint="99"/>
            <w:vAlign w:val="bottom"/>
          </w:tcPr>
          <w:p w:rsidR="00921947" w:rsidRDefault="0092194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2006</w:t>
            </w:r>
          </w:p>
        </w:tc>
        <w:tc>
          <w:tcPr>
            <w:tcW w:w="2390" w:type="dxa"/>
            <w:shd w:val="clear" w:color="auto" w:fill="548DD4" w:themeFill="text2" w:themeFillTint="99"/>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2010以降</w:t>
            </w:r>
          </w:p>
        </w:tc>
      </w:tr>
      <w:tr w:rsidR="00921947" w:rsidTr="009D48E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欧州</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12,600t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36,000t</w:t>
            </w:r>
          </w:p>
        </w:tc>
      </w:tr>
      <w:tr w:rsidR="00921947" w:rsidTr="009D48EC">
        <w:trPr>
          <w:cnfStyle w:val="000000100000"/>
        </w:trPr>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中国</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125,800t</w:t>
            </w:r>
          </w:p>
        </w:tc>
      </w:tr>
      <w:tr w:rsidR="00921947" w:rsidTr="009D48E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米国　</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13,000t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42,900t</w:t>
            </w:r>
          </w:p>
        </w:tc>
      </w:tr>
      <w:tr w:rsidR="00921947" w:rsidTr="009D48EC">
        <w:trPr>
          <w:cnfStyle w:val="000000100000"/>
        </w:trPr>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韓国</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58,000t</w:t>
            </w:r>
          </w:p>
        </w:tc>
      </w:tr>
      <w:tr w:rsidR="00921947" w:rsidTr="009D48E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日本</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7,700t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19,100t</w:t>
            </w:r>
          </w:p>
        </w:tc>
      </w:tr>
      <w:tr w:rsidR="00921947" w:rsidTr="003F4519">
        <w:trPr>
          <w:cnfStyle w:val="000000100000"/>
        </w:trPr>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全世界生産量</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33,300t</w:t>
            </w:r>
          </w:p>
        </w:tc>
        <w:tc>
          <w:tcPr>
            <w:tcW w:w="2390" w:type="dxa"/>
            <w:vAlign w:val="bottom"/>
          </w:tcPr>
          <w:p w:rsidR="00921947" w:rsidRDefault="00921947">
            <w:pPr>
              <w:rPr>
                <w:rFonts w:ascii="ＭＳ Ｐゴシック" w:eastAsia="ＭＳ Ｐゴシック" w:hAnsi="ＭＳ Ｐゴシック"/>
                <w:sz w:val="22"/>
              </w:rPr>
            </w:pPr>
            <w:r>
              <w:rPr>
                <w:rFonts w:ascii="ＭＳ Ｐゴシック" w:eastAsia="ＭＳ Ｐゴシック" w:hAnsi="ＭＳ Ｐゴシック" w:hint="eastAsia"/>
                <w:sz w:val="22"/>
              </w:rPr>
              <w:t>281,800t</w:t>
            </w:r>
          </w:p>
        </w:tc>
      </w:tr>
    </w:tbl>
    <w:p w:rsidR="00573AF0" w:rsidRDefault="00921947" w:rsidP="00921947">
      <w:pPr>
        <w:pStyle w:val="ac"/>
        <w:rPr>
          <w:rFonts w:hint="eastAsia"/>
          <w:kern w:val="0"/>
          <w:szCs w:val="21"/>
        </w:rPr>
      </w:pPr>
      <w:r>
        <w:rPr>
          <w:rFonts w:hint="eastAsia"/>
          <w:kern w:val="0"/>
          <w:szCs w:val="21"/>
        </w:rPr>
        <w:t>出所）ジェイスター</w:t>
      </w:r>
    </w:p>
    <w:p w:rsidR="00C23212" w:rsidRPr="00C23212" w:rsidRDefault="00C23212" w:rsidP="00573AF0">
      <w:pPr>
        <w:pStyle w:val="ac"/>
        <w:ind w:firstLineChars="100" w:firstLine="210"/>
        <w:rPr>
          <w:kern w:val="0"/>
          <w:szCs w:val="21"/>
        </w:rPr>
      </w:pPr>
      <w:r w:rsidRPr="00C23212">
        <w:rPr>
          <w:noProof/>
          <w:kern w:val="0"/>
          <w:szCs w:val="21"/>
        </w:rPr>
        <w:drawing>
          <wp:inline distT="0" distB="0" distL="0" distR="0">
            <wp:extent cx="4456264" cy="2194560"/>
            <wp:effectExtent l="19050" t="0" r="20486"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3AF0" w:rsidRDefault="0053622B" w:rsidP="00F8739F">
      <w:pPr>
        <w:pStyle w:val="ac"/>
        <w:ind w:firstLineChars="100" w:firstLine="210"/>
        <w:rPr>
          <w:kern w:val="0"/>
          <w:szCs w:val="21"/>
        </w:rPr>
      </w:pPr>
      <w:r w:rsidRPr="00573AF0">
        <w:rPr>
          <w:kern w:val="0"/>
          <w:szCs w:val="21"/>
        </w:rPr>
        <w:t>日本は化石燃料等の天然資源をほとんど持たないにも関わらず、世界でもトップレベルの資源消費国であり、将来的な枯渇が予想される化石燃料はその希少性から投機の対象となりやすく価格の乱高下が起きやすく、このような不安定なエネルギーに依存する経済構造は不安定であり、これからの日本経済の発展に不可欠な産業である。みずほ証券のアナリストの観測では世界の太陽電池市場は、「モジュールベースの推定実績で、</w:t>
      </w:r>
      <w:r w:rsidRPr="00573AF0">
        <w:rPr>
          <w:kern w:val="0"/>
          <w:szCs w:val="21"/>
        </w:rPr>
        <w:t>2006</w:t>
      </w:r>
      <w:r w:rsidRPr="00573AF0">
        <w:rPr>
          <w:kern w:val="0"/>
          <w:szCs w:val="21"/>
        </w:rPr>
        <w:t>年に</w:t>
      </w:r>
      <w:r w:rsidRPr="00573AF0">
        <w:rPr>
          <w:kern w:val="0"/>
          <w:szCs w:val="21"/>
        </w:rPr>
        <w:t>6000</w:t>
      </w:r>
      <w:r w:rsidRPr="00573AF0">
        <w:rPr>
          <w:kern w:val="0"/>
          <w:szCs w:val="21"/>
        </w:rPr>
        <w:t>億～</w:t>
      </w:r>
      <w:r w:rsidRPr="00573AF0">
        <w:rPr>
          <w:kern w:val="0"/>
          <w:szCs w:val="21"/>
        </w:rPr>
        <w:t>8000</w:t>
      </w:r>
      <w:r w:rsidRPr="00573AF0">
        <w:rPr>
          <w:kern w:val="0"/>
          <w:szCs w:val="21"/>
        </w:rPr>
        <w:t>億円くらいのマーケットになった。順調に推移すれば、</w:t>
      </w:r>
      <w:r w:rsidRPr="00573AF0">
        <w:rPr>
          <w:kern w:val="0"/>
          <w:szCs w:val="21"/>
        </w:rPr>
        <w:t>2009</w:t>
      </w:r>
      <w:r w:rsidRPr="00573AF0">
        <w:rPr>
          <w:kern w:val="0"/>
          <w:szCs w:val="21"/>
        </w:rPr>
        <w:t>年には世界全体で２兆円を超える」と推測されており、今後も大きなマーケットの拡大が見込める産業である。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制度面で太陽電池産業を見てみると、</w:t>
      </w:r>
      <w:r w:rsidRPr="00573AF0">
        <w:rPr>
          <w:kern w:val="0"/>
          <w:szCs w:val="21"/>
        </w:rPr>
        <w:t>2003</w:t>
      </w:r>
      <w:r w:rsidRPr="00573AF0">
        <w:rPr>
          <w:kern w:val="0"/>
          <w:szCs w:val="21"/>
        </w:rPr>
        <w:t>年から施行されている新エネルギー利用特別措置法（</w:t>
      </w:r>
      <w:proofErr w:type="spellStart"/>
      <w:r w:rsidRPr="00573AF0">
        <w:rPr>
          <w:kern w:val="0"/>
          <w:szCs w:val="21"/>
        </w:rPr>
        <w:t>Renewables</w:t>
      </w:r>
      <w:proofErr w:type="spellEnd"/>
      <w:r w:rsidRPr="00573AF0">
        <w:rPr>
          <w:kern w:val="0"/>
          <w:szCs w:val="21"/>
        </w:rPr>
        <w:t xml:space="preserve"> Portfolio Standard</w:t>
      </w:r>
      <w:r w:rsidRPr="00573AF0">
        <w:rPr>
          <w:kern w:val="0"/>
          <w:szCs w:val="21"/>
        </w:rPr>
        <w:t>法）に基づく</w:t>
      </w:r>
      <w:r w:rsidRPr="00573AF0">
        <w:rPr>
          <w:kern w:val="0"/>
          <w:szCs w:val="21"/>
        </w:rPr>
        <w:t>RPS</w:t>
      </w:r>
      <w:r w:rsidRPr="00573AF0">
        <w:rPr>
          <w:kern w:val="0"/>
          <w:szCs w:val="21"/>
        </w:rPr>
        <w:t>制度により電力会社に再生可能エネルギーを一定割合導入する事を義務づけている。しかしながらこの法律は、外諸国で採用が進んでいる固定価格買い取り制度（フィードインタリフ制度）と比較して、再生可能エネルギーの売り渡し価格が法律により長期間固定される事により、投資リスクを大幅に低減しているのに対して、投資リスクが高く、固定価格買い取り制度と比べて費用対効果が低い等の指摘がされており、日本国内での太陽電池需要を阻害している一因となっている。</w:t>
      </w:r>
      <w:r w:rsidRPr="00573AF0">
        <w:rPr>
          <w:kern w:val="0"/>
          <w:szCs w:val="21"/>
        </w:rPr>
        <w:br/>
      </w:r>
    </w:p>
    <w:p w:rsidR="00C23212" w:rsidRDefault="00BC34F8" w:rsidP="00C23212">
      <w:pPr>
        <w:pStyle w:val="ac"/>
        <w:rPr>
          <w:kern w:val="0"/>
          <w:szCs w:val="21"/>
        </w:rPr>
      </w:pPr>
      <w:r>
        <w:rPr>
          <w:rFonts w:hint="eastAsia"/>
          <w:kern w:val="0"/>
          <w:szCs w:val="21"/>
        </w:rPr>
        <w:t>②</w:t>
      </w:r>
      <w:r>
        <w:rPr>
          <w:kern w:val="0"/>
          <w:szCs w:val="21"/>
        </w:rPr>
        <w:t>関西の現状分析</w:t>
      </w:r>
      <w:r w:rsidR="00C23212" w:rsidRPr="00573AF0">
        <w:rPr>
          <w:kern w:val="0"/>
          <w:szCs w:val="21"/>
        </w:rPr>
        <w:t xml:space="preserve">　</w:t>
      </w:r>
      <w:r w:rsidR="00C23212" w:rsidRPr="00573AF0">
        <w:rPr>
          <w:kern w:val="0"/>
          <w:szCs w:val="21"/>
        </w:rPr>
        <w:br/>
      </w:r>
      <w:r w:rsidR="00C23212" w:rsidRPr="00573AF0">
        <w:rPr>
          <w:kern w:val="0"/>
          <w:szCs w:val="21"/>
        </w:rPr>
        <w:t xml:space="preserve">　</w:t>
      </w:r>
    </w:p>
    <w:p w:rsidR="00C23212" w:rsidRDefault="00C23212" w:rsidP="00C23212">
      <w:pPr>
        <w:pStyle w:val="ac"/>
        <w:ind w:firstLineChars="100" w:firstLine="210"/>
        <w:rPr>
          <w:kern w:val="0"/>
          <w:szCs w:val="21"/>
        </w:rPr>
      </w:pPr>
      <w:r w:rsidRPr="00573AF0">
        <w:rPr>
          <w:kern w:val="0"/>
          <w:szCs w:val="21"/>
        </w:rPr>
        <w:t>関西における太陽光発電産業を見てみると、</w:t>
      </w:r>
      <w:r w:rsidRPr="00573AF0">
        <w:rPr>
          <w:kern w:val="0"/>
          <w:szCs w:val="21"/>
        </w:rPr>
        <w:t>2007</w:t>
      </w:r>
      <w:r w:rsidRPr="00573AF0">
        <w:rPr>
          <w:kern w:val="0"/>
          <w:szCs w:val="21"/>
        </w:rPr>
        <w:t>年時点での太陽光パネル総生産量５０％を占める上位７社は、</w:t>
      </w:r>
      <w:r w:rsidRPr="00573AF0">
        <w:rPr>
          <w:kern w:val="0"/>
          <w:szCs w:val="21"/>
        </w:rPr>
        <w:t>Q</w:t>
      </w:r>
      <w:r w:rsidRPr="00573AF0">
        <w:rPr>
          <w:kern w:val="0"/>
          <w:szCs w:val="21"/>
        </w:rPr>
        <w:t>セルズ（ドイツ）</w:t>
      </w:r>
      <w:r w:rsidRPr="00573AF0">
        <w:rPr>
          <w:kern w:val="0"/>
          <w:szCs w:val="21"/>
        </w:rPr>
        <w:t>10.4%</w:t>
      </w:r>
      <w:r w:rsidRPr="00573AF0">
        <w:rPr>
          <w:kern w:val="0"/>
          <w:szCs w:val="21"/>
        </w:rPr>
        <w:t>、シャープ（大阪）</w:t>
      </w:r>
      <w:r w:rsidRPr="00573AF0">
        <w:rPr>
          <w:kern w:val="0"/>
          <w:szCs w:val="21"/>
        </w:rPr>
        <w:t>9.7%</w:t>
      </w:r>
      <w:r w:rsidRPr="00573AF0">
        <w:rPr>
          <w:kern w:val="0"/>
          <w:szCs w:val="21"/>
        </w:rPr>
        <w:t>、サンテックパワー（中国）</w:t>
      </w:r>
      <w:r w:rsidRPr="00573AF0">
        <w:rPr>
          <w:kern w:val="0"/>
          <w:szCs w:val="21"/>
        </w:rPr>
        <w:t>8.8%</w:t>
      </w:r>
      <w:r w:rsidRPr="00573AF0">
        <w:rPr>
          <w:kern w:val="0"/>
          <w:szCs w:val="21"/>
        </w:rPr>
        <w:t>、京セラ（京都）</w:t>
      </w:r>
      <w:r w:rsidRPr="00573AF0">
        <w:rPr>
          <w:kern w:val="0"/>
          <w:szCs w:val="21"/>
        </w:rPr>
        <w:t>5.5%</w:t>
      </w:r>
      <w:r w:rsidRPr="00573AF0">
        <w:rPr>
          <w:kern w:val="0"/>
          <w:szCs w:val="21"/>
        </w:rPr>
        <w:t>、ファーストソーラー（アメリカ）</w:t>
      </w:r>
      <w:r w:rsidRPr="00573AF0">
        <w:rPr>
          <w:kern w:val="0"/>
          <w:szCs w:val="21"/>
        </w:rPr>
        <w:t>5.5%</w:t>
      </w:r>
      <w:r w:rsidRPr="00573AF0">
        <w:rPr>
          <w:kern w:val="0"/>
          <w:szCs w:val="21"/>
        </w:rPr>
        <w:t>、モーテック（台湾）</w:t>
      </w:r>
      <w:r w:rsidRPr="00573AF0">
        <w:rPr>
          <w:kern w:val="0"/>
          <w:szCs w:val="21"/>
        </w:rPr>
        <w:t>5.3%</w:t>
      </w:r>
      <w:r w:rsidRPr="00573AF0">
        <w:rPr>
          <w:kern w:val="0"/>
          <w:szCs w:val="21"/>
        </w:rPr>
        <w:t>、三洋電機（大阪）</w:t>
      </w:r>
      <w:r w:rsidRPr="00573AF0">
        <w:rPr>
          <w:kern w:val="0"/>
          <w:szCs w:val="21"/>
        </w:rPr>
        <w:t>4.4%</w:t>
      </w:r>
      <w:r w:rsidRPr="00573AF0">
        <w:rPr>
          <w:kern w:val="0"/>
          <w:szCs w:val="21"/>
        </w:rPr>
        <w:t>である。</w:t>
      </w:r>
      <w:r w:rsidRPr="00573AF0">
        <w:rPr>
          <w:kern w:val="0"/>
          <w:szCs w:val="21"/>
        </w:rPr>
        <w:t>2005</w:t>
      </w:r>
      <w:r w:rsidRPr="00573AF0">
        <w:rPr>
          <w:kern w:val="0"/>
          <w:szCs w:val="21"/>
        </w:rPr>
        <w:t>年の太陽光パネル総生産量５０％を占める上位５社がシャープ</w:t>
      </w:r>
      <w:r w:rsidRPr="00573AF0">
        <w:rPr>
          <w:kern w:val="0"/>
          <w:szCs w:val="21"/>
        </w:rPr>
        <w:t>24.8%</w:t>
      </w:r>
      <w:r w:rsidRPr="00573AF0">
        <w:rPr>
          <w:kern w:val="0"/>
          <w:szCs w:val="21"/>
        </w:rPr>
        <w:t>、</w:t>
      </w:r>
      <w:r w:rsidRPr="00573AF0">
        <w:rPr>
          <w:kern w:val="0"/>
          <w:szCs w:val="21"/>
        </w:rPr>
        <w:t>Q</w:t>
      </w:r>
      <w:r w:rsidRPr="00573AF0">
        <w:rPr>
          <w:kern w:val="0"/>
          <w:szCs w:val="21"/>
        </w:rPr>
        <w:t>セルズ</w:t>
      </w:r>
      <w:r w:rsidRPr="00573AF0">
        <w:rPr>
          <w:kern w:val="0"/>
          <w:szCs w:val="21"/>
        </w:rPr>
        <w:t>9.3%</w:t>
      </w:r>
      <w:r w:rsidRPr="00573AF0">
        <w:rPr>
          <w:kern w:val="0"/>
          <w:szCs w:val="21"/>
        </w:rPr>
        <w:t>、京セラ</w:t>
      </w:r>
      <w:r w:rsidRPr="00573AF0">
        <w:rPr>
          <w:kern w:val="0"/>
          <w:szCs w:val="21"/>
        </w:rPr>
        <w:t>8.2%</w:t>
      </w:r>
      <w:r w:rsidRPr="00573AF0">
        <w:rPr>
          <w:kern w:val="0"/>
          <w:szCs w:val="21"/>
        </w:rPr>
        <w:t>、三洋電機</w:t>
      </w:r>
      <w:r w:rsidRPr="00573AF0">
        <w:rPr>
          <w:kern w:val="0"/>
          <w:szCs w:val="21"/>
        </w:rPr>
        <w:t>7.2%</w:t>
      </w:r>
      <w:r w:rsidRPr="00573AF0">
        <w:rPr>
          <w:kern w:val="0"/>
          <w:szCs w:val="21"/>
        </w:rPr>
        <w:t>、三菱電機</w:t>
      </w:r>
      <w:r w:rsidRPr="00573AF0">
        <w:rPr>
          <w:kern w:val="0"/>
          <w:szCs w:val="21"/>
        </w:rPr>
        <w:t>5.8%</w:t>
      </w:r>
      <w:r w:rsidRPr="00573AF0">
        <w:rPr>
          <w:kern w:val="0"/>
          <w:szCs w:val="21"/>
        </w:rPr>
        <w:t>であった事を考えると中国やドイツの等にシェアを奪われているものの、いまだ一国あたり生産割合は日本が世界トップであり、中でも関西は日本国内における太陽パネルの生産高の</w:t>
      </w:r>
      <w:r w:rsidRPr="00573AF0">
        <w:rPr>
          <w:kern w:val="0"/>
          <w:szCs w:val="21"/>
        </w:rPr>
        <w:t>79.6</w:t>
      </w:r>
      <w:r w:rsidRPr="00573AF0">
        <w:rPr>
          <w:kern w:val="0"/>
          <w:szCs w:val="21"/>
        </w:rPr>
        <w:t>％を占めており、これは関西だけで世界総生産数の</w:t>
      </w:r>
      <w:r w:rsidRPr="00573AF0">
        <w:rPr>
          <w:kern w:val="0"/>
          <w:szCs w:val="21"/>
        </w:rPr>
        <w:t>19.6</w:t>
      </w:r>
      <w:r w:rsidRPr="00573AF0">
        <w:rPr>
          <w:kern w:val="0"/>
          <w:szCs w:val="21"/>
        </w:rPr>
        <w:t>％を占めていることであり、関西企業の太陽電池産業での強さを見て取る事が出来る。</w:t>
      </w:r>
    </w:p>
    <w:p w:rsidR="00C23212" w:rsidRDefault="00C23212" w:rsidP="00C23212">
      <w:pPr>
        <w:pStyle w:val="ac"/>
        <w:rPr>
          <w:kern w:val="0"/>
          <w:szCs w:val="21"/>
        </w:rPr>
      </w:pPr>
      <w:r w:rsidRPr="00EA2B74">
        <w:rPr>
          <w:noProof/>
          <w:kern w:val="0"/>
          <w:szCs w:val="21"/>
        </w:rPr>
        <w:drawing>
          <wp:inline distT="0" distB="0" distL="0" distR="0">
            <wp:extent cx="2561038" cy="2854518"/>
            <wp:effectExtent l="19050" t="0" r="10712" b="2982"/>
            <wp:docPr id="11"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EA2B74">
        <w:rPr>
          <w:noProof/>
          <w:kern w:val="0"/>
          <w:szCs w:val="21"/>
        </w:rPr>
        <w:drawing>
          <wp:inline distT="0" distB="0" distL="0" distR="0">
            <wp:extent cx="2753139" cy="2851978"/>
            <wp:effectExtent l="19050" t="0" r="28161" b="5522"/>
            <wp:docPr id="12"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3212" w:rsidRDefault="00C23212" w:rsidP="00C23212">
      <w:pPr>
        <w:pStyle w:val="ac"/>
        <w:ind w:firstLineChars="100" w:firstLine="210"/>
        <w:rPr>
          <w:kern w:val="0"/>
          <w:szCs w:val="21"/>
        </w:rPr>
      </w:pPr>
      <w:r w:rsidRPr="00573AF0">
        <w:rPr>
          <w:kern w:val="0"/>
          <w:szCs w:val="21"/>
        </w:rPr>
        <w:t>しかしながら世界の地域別で見た場合には、欧州が全世界の</w:t>
      </w:r>
      <w:r w:rsidRPr="00573AF0">
        <w:rPr>
          <w:kern w:val="0"/>
          <w:szCs w:val="21"/>
        </w:rPr>
        <w:t>28.5%</w:t>
      </w:r>
      <w:r w:rsidRPr="00573AF0">
        <w:rPr>
          <w:kern w:val="0"/>
          <w:szCs w:val="21"/>
        </w:rPr>
        <w:t>の太陽パネルを生産しており、固定価格買い取り制度等の製作により数年で市場規模を大きく拡大したことからも、国内で</w:t>
      </w:r>
      <w:r>
        <w:rPr>
          <w:kern w:val="0"/>
          <w:szCs w:val="21"/>
        </w:rPr>
        <w:t>の市場規模拡大のためには政策面での充実が必要であると考えられる</w:t>
      </w:r>
      <w:r>
        <w:rPr>
          <w:rFonts w:hint="eastAsia"/>
          <w:kern w:val="0"/>
          <w:szCs w:val="21"/>
        </w:rPr>
        <w:t>。</w:t>
      </w:r>
    </w:p>
    <w:p w:rsidR="00573AF0" w:rsidRPr="00C23212" w:rsidRDefault="0053622B" w:rsidP="00573AF0">
      <w:pPr>
        <w:pStyle w:val="ac"/>
        <w:ind w:firstLineChars="100" w:firstLine="210"/>
        <w:rPr>
          <w:kern w:val="0"/>
          <w:szCs w:val="21"/>
        </w:rPr>
      </w:pPr>
      <w:r w:rsidRPr="00573AF0">
        <w:rPr>
          <w:kern w:val="0"/>
          <w:szCs w:val="21"/>
        </w:rPr>
        <w:br/>
      </w:r>
      <w:r w:rsidRPr="00573AF0">
        <w:rPr>
          <w:kern w:val="0"/>
          <w:szCs w:val="21"/>
        </w:rPr>
        <w:t xml:space="preserve">　</w:t>
      </w:r>
      <w:r w:rsidR="00C23212" w:rsidRPr="00C23212">
        <w:rPr>
          <w:noProof/>
          <w:kern w:val="0"/>
          <w:szCs w:val="21"/>
        </w:rPr>
        <w:drawing>
          <wp:inline distT="0" distB="0" distL="0" distR="0">
            <wp:extent cx="4254500" cy="2184400"/>
            <wp:effectExtent l="19050" t="0" r="12700" b="6350"/>
            <wp:docPr id="9"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3AF0" w:rsidRDefault="0053622B" w:rsidP="00573AF0">
      <w:pPr>
        <w:pStyle w:val="ac"/>
        <w:ind w:firstLineChars="100" w:firstLine="210"/>
        <w:rPr>
          <w:kern w:val="0"/>
          <w:szCs w:val="21"/>
        </w:rPr>
      </w:pPr>
      <w:r w:rsidRPr="00573AF0">
        <w:rPr>
          <w:kern w:val="0"/>
          <w:szCs w:val="21"/>
        </w:rPr>
        <w:t>太陽光パネルの発電量を左右する変換効率で見ても、京セラは多結晶シリコン系太陽光パネルにおいて、セルの変換効率を世界最高の</w:t>
      </w:r>
      <w:r w:rsidRPr="00573AF0">
        <w:rPr>
          <w:kern w:val="0"/>
          <w:szCs w:val="21"/>
        </w:rPr>
        <w:t>18.5%</w:t>
      </w:r>
      <w:r w:rsidRPr="00573AF0">
        <w:rPr>
          <w:kern w:val="0"/>
          <w:szCs w:val="21"/>
        </w:rPr>
        <w:t>に引き上げる等、関西企業の太陽光パネルの開発能力は世界最高水準のものとなっている。また近年需要の増大から希少性の高まっていた太陽電池専用シリコン原料（</w:t>
      </w:r>
      <w:r w:rsidRPr="00573AF0">
        <w:rPr>
          <w:kern w:val="0"/>
          <w:szCs w:val="21"/>
        </w:rPr>
        <w:t>solar-grade silicon, SOG-Si</w:t>
      </w:r>
      <w:r w:rsidRPr="00573AF0">
        <w:rPr>
          <w:kern w:val="0"/>
          <w:szCs w:val="21"/>
        </w:rPr>
        <w:t>）だが、多くの</w:t>
      </w:r>
      <w:r w:rsidRPr="00573AF0">
        <w:rPr>
          <w:kern w:val="0"/>
          <w:szCs w:val="21"/>
        </w:rPr>
        <w:t>SOG-Si</w:t>
      </w:r>
      <w:r w:rsidRPr="00573AF0">
        <w:rPr>
          <w:kern w:val="0"/>
          <w:szCs w:val="21"/>
        </w:rPr>
        <w:t>を消費する多結晶型シリコン系の</w:t>
      </w:r>
      <w:r w:rsidRPr="00573AF0">
        <w:rPr>
          <w:kern w:val="0"/>
          <w:szCs w:val="21"/>
        </w:rPr>
        <w:t>100</w:t>
      </w:r>
      <w:r w:rsidRPr="00573AF0">
        <w:rPr>
          <w:kern w:val="0"/>
          <w:szCs w:val="21"/>
        </w:rPr>
        <w:t>分の</w:t>
      </w:r>
      <w:r w:rsidRPr="00573AF0">
        <w:rPr>
          <w:kern w:val="0"/>
          <w:szCs w:val="21"/>
        </w:rPr>
        <w:t>1</w:t>
      </w:r>
      <w:r w:rsidRPr="00573AF0">
        <w:rPr>
          <w:kern w:val="0"/>
          <w:szCs w:val="21"/>
        </w:rPr>
        <w:t>の</w:t>
      </w:r>
      <w:r w:rsidRPr="00573AF0">
        <w:rPr>
          <w:kern w:val="0"/>
          <w:szCs w:val="21"/>
        </w:rPr>
        <w:t>SOG-Si</w:t>
      </w:r>
      <w:r w:rsidRPr="00573AF0">
        <w:rPr>
          <w:kern w:val="0"/>
          <w:szCs w:val="21"/>
        </w:rPr>
        <w:t>消費量で済む、低コストの薄膜型太陽光パネルの開発でもシャープがセルの変換効率を</w:t>
      </w:r>
      <w:r w:rsidRPr="00573AF0">
        <w:rPr>
          <w:kern w:val="0"/>
          <w:szCs w:val="21"/>
        </w:rPr>
        <w:t>11%</w:t>
      </w:r>
      <w:r w:rsidRPr="00573AF0">
        <w:rPr>
          <w:kern w:val="0"/>
          <w:szCs w:val="21"/>
        </w:rPr>
        <w:t>から</w:t>
      </w:r>
      <w:r w:rsidRPr="00573AF0">
        <w:rPr>
          <w:kern w:val="0"/>
          <w:szCs w:val="21"/>
        </w:rPr>
        <w:t>13%</w:t>
      </w:r>
      <w:r w:rsidRPr="00573AF0">
        <w:rPr>
          <w:kern w:val="0"/>
          <w:szCs w:val="21"/>
        </w:rPr>
        <w:t>へと引き上げ、更なる低コスト、低資源化を実現している。世界的な太陽光パネルの市場拡大が予想される中、</w:t>
      </w:r>
      <w:r w:rsidRPr="00573AF0">
        <w:rPr>
          <w:kern w:val="0"/>
          <w:szCs w:val="21"/>
        </w:rPr>
        <w:t>SOG-Si</w:t>
      </w:r>
      <w:r w:rsidRPr="00573AF0">
        <w:rPr>
          <w:kern w:val="0"/>
          <w:szCs w:val="21"/>
        </w:rPr>
        <w:t>消費量を大幅に削減出来るシャープの薄膜型太陽光パネルへは期待は大きい。また</w:t>
      </w:r>
      <w:r w:rsidRPr="00573AF0">
        <w:rPr>
          <w:kern w:val="0"/>
          <w:szCs w:val="21"/>
        </w:rPr>
        <w:t>2008</w:t>
      </w:r>
      <w:r w:rsidRPr="00573AF0">
        <w:rPr>
          <w:kern w:val="0"/>
          <w:szCs w:val="21"/>
        </w:rPr>
        <w:t>年にパナソニックと資本業務提携をした三洋電機も、「</w:t>
      </w:r>
      <w:r w:rsidRPr="00573AF0">
        <w:rPr>
          <w:kern w:val="0"/>
          <w:szCs w:val="21"/>
        </w:rPr>
        <w:t>HIT</w:t>
      </w:r>
      <w:r w:rsidRPr="00573AF0">
        <w:rPr>
          <w:kern w:val="0"/>
          <w:szCs w:val="21"/>
        </w:rPr>
        <w:t>太陽電池」という温度特性に優れた太陽電池を開発、電気変換効率も</w:t>
      </w:r>
      <w:r w:rsidRPr="00573AF0">
        <w:rPr>
          <w:kern w:val="0"/>
          <w:szCs w:val="21"/>
        </w:rPr>
        <w:t>12.7%</w:t>
      </w:r>
      <w:r w:rsidRPr="00573AF0">
        <w:rPr>
          <w:kern w:val="0"/>
          <w:szCs w:val="21"/>
        </w:rPr>
        <w:t>から</w:t>
      </w:r>
      <w:r w:rsidRPr="00573AF0">
        <w:rPr>
          <w:kern w:val="0"/>
          <w:szCs w:val="21"/>
        </w:rPr>
        <w:t>16.5%</w:t>
      </w:r>
      <w:r w:rsidRPr="00573AF0">
        <w:rPr>
          <w:kern w:val="0"/>
          <w:szCs w:val="21"/>
        </w:rPr>
        <w:t>への大幅な効率化に成功している。同社は</w:t>
      </w:r>
      <w:r w:rsidRPr="00573AF0">
        <w:rPr>
          <w:kern w:val="0"/>
          <w:szCs w:val="21"/>
        </w:rPr>
        <w:t>2010</w:t>
      </w:r>
      <w:r w:rsidRPr="00573AF0">
        <w:rPr>
          <w:kern w:val="0"/>
          <w:szCs w:val="21"/>
        </w:rPr>
        <w:t>年度までに追加で</w:t>
      </w:r>
      <w:r w:rsidRPr="00573AF0">
        <w:rPr>
          <w:kern w:val="0"/>
          <w:szCs w:val="21"/>
        </w:rPr>
        <w:t>400</w:t>
      </w:r>
      <w:r w:rsidRPr="00573AF0">
        <w:rPr>
          <w:kern w:val="0"/>
          <w:szCs w:val="21"/>
        </w:rPr>
        <w:t>億円の投資を予定しており、太陽電池事業を</w:t>
      </w:r>
      <w:r w:rsidRPr="00573AF0">
        <w:rPr>
          <w:kern w:val="0"/>
          <w:szCs w:val="21"/>
        </w:rPr>
        <w:t>2005</w:t>
      </w:r>
      <w:r w:rsidRPr="00573AF0">
        <w:rPr>
          <w:kern w:val="0"/>
          <w:szCs w:val="21"/>
        </w:rPr>
        <w:t>年度の３倍まで拡大する事を目標としており、また量産品の変換効率を研究室で実証されているレベルの</w:t>
      </w:r>
      <w:r w:rsidRPr="00573AF0">
        <w:rPr>
          <w:kern w:val="0"/>
          <w:szCs w:val="21"/>
        </w:rPr>
        <w:t>22%</w:t>
      </w:r>
      <w:r w:rsidRPr="00573AF0">
        <w:rPr>
          <w:kern w:val="0"/>
          <w:szCs w:val="21"/>
        </w:rPr>
        <w:t>まで引き上げることを目標としており、全世界の気候に対応出来る太陽電池の生産に意欲的である。本社をおくカネカも</w:t>
      </w:r>
      <w:r w:rsidRPr="00573AF0">
        <w:rPr>
          <w:kern w:val="0"/>
          <w:szCs w:val="21"/>
        </w:rPr>
        <w:t>2015</w:t>
      </w:r>
      <w:r w:rsidRPr="00573AF0">
        <w:rPr>
          <w:kern w:val="0"/>
          <w:szCs w:val="21"/>
        </w:rPr>
        <w:t>年をめどに</w:t>
      </w:r>
      <w:r w:rsidRPr="00573AF0">
        <w:rPr>
          <w:kern w:val="0"/>
          <w:szCs w:val="21"/>
        </w:rPr>
        <w:t>100</w:t>
      </w:r>
      <w:r w:rsidRPr="00573AF0">
        <w:rPr>
          <w:kern w:val="0"/>
          <w:szCs w:val="21"/>
        </w:rPr>
        <w:t>万</w:t>
      </w:r>
      <w:r w:rsidRPr="00573AF0">
        <w:rPr>
          <w:kern w:val="0"/>
          <w:szCs w:val="21"/>
        </w:rPr>
        <w:t>kW</w:t>
      </w:r>
      <w:r w:rsidRPr="00573AF0">
        <w:rPr>
          <w:kern w:val="0"/>
          <w:szCs w:val="21"/>
        </w:rPr>
        <w:t>の年産能力をめざしており、関西圏の太陽光発電への投資が増えてきている。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技術開発において世界の先端を走る日本の太陽電池産業だが、導入の遅れから、国内での市場規模をのばす事が出来ず、苦境にあったが、昨今のエネルギー需要問題により、大規模な太陽光発電の導入が検討されてきている。ともに関西圏に本社をおく関西電力と、シャープは</w:t>
      </w:r>
      <w:r w:rsidRPr="00573AF0">
        <w:rPr>
          <w:kern w:val="0"/>
          <w:szCs w:val="21"/>
        </w:rPr>
        <w:t>2008</w:t>
      </w:r>
      <w:r w:rsidRPr="00573AF0">
        <w:rPr>
          <w:kern w:val="0"/>
          <w:szCs w:val="21"/>
        </w:rPr>
        <w:t>年大阪湾沿岸地域に</w:t>
      </w:r>
      <w:r w:rsidRPr="00573AF0">
        <w:rPr>
          <w:kern w:val="0"/>
          <w:szCs w:val="21"/>
        </w:rPr>
        <w:t>28MW</w:t>
      </w:r>
      <w:r w:rsidRPr="00573AF0">
        <w:rPr>
          <w:kern w:val="0"/>
          <w:szCs w:val="21"/>
        </w:rPr>
        <w:t>の発電量を誇る世界最大規模の太陽光発電所と、</w:t>
      </w:r>
      <w:r w:rsidRPr="00573AF0">
        <w:rPr>
          <w:kern w:val="0"/>
          <w:szCs w:val="21"/>
        </w:rPr>
        <w:t>18MW</w:t>
      </w:r>
      <w:r w:rsidRPr="00573AF0">
        <w:rPr>
          <w:kern w:val="0"/>
          <w:szCs w:val="21"/>
        </w:rPr>
        <w:t>の発電量を誇る発電施設を建設する事で合意し、</w:t>
      </w:r>
      <w:r w:rsidRPr="00573AF0">
        <w:rPr>
          <w:kern w:val="0"/>
          <w:szCs w:val="21"/>
        </w:rPr>
        <w:t>2011</w:t>
      </w:r>
      <w:r w:rsidRPr="00573AF0">
        <w:rPr>
          <w:kern w:val="0"/>
          <w:szCs w:val="21"/>
        </w:rPr>
        <w:t>年からの稼働を目指す事となった。このような国内需要の増大により、市場規模は広がりを見せ、さらなる太陽電池産業の隆盛が期待出来る。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またアメリカの新政権も大規模な太陽電池への投資を発表しており、国内のみならず海外においても大規模な市場の拡大が予想されている。</w:t>
      </w:r>
      <w:r w:rsidRPr="00573AF0">
        <w:rPr>
          <w:kern w:val="0"/>
          <w:szCs w:val="21"/>
        </w:rPr>
        <w:br/>
      </w:r>
    </w:p>
    <w:p w:rsidR="00573AF0" w:rsidRDefault="00BC34F8" w:rsidP="00573AF0">
      <w:pPr>
        <w:pStyle w:val="ac"/>
        <w:ind w:firstLineChars="100" w:firstLine="210"/>
        <w:rPr>
          <w:kern w:val="0"/>
          <w:szCs w:val="21"/>
        </w:rPr>
      </w:pPr>
      <w:r>
        <w:rPr>
          <w:rFonts w:hint="eastAsia"/>
          <w:kern w:val="0"/>
          <w:szCs w:val="21"/>
        </w:rPr>
        <w:t>③</w:t>
      </w:r>
      <w:r>
        <w:rPr>
          <w:kern w:val="0"/>
          <w:szCs w:val="21"/>
        </w:rPr>
        <w:t>未来像</w:t>
      </w:r>
      <w:r w:rsidR="0053622B" w:rsidRPr="00573AF0">
        <w:rPr>
          <w:kern w:val="0"/>
          <w:szCs w:val="21"/>
        </w:rPr>
        <w:br/>
      </w:r>
      <w:r w:rsidR="0053622B"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このように太陽電池産業において関西企業は生産能力、技術開発の両面において大きな優位性を持っており、また大規模な工業品である太陽電池を輸送するための港湾施設も隣接しており、今後関西圏の更なる発展が期待出来る。</w:t>
      </w:r>
      <w:r w:rsidRPr="00573AF0">
        <w:rPr>
          <w:kern w:val="0"/>
          <w:szCs w:val="21"/>
        </w:rPr>
        <w:br/>
      </w:r>
      <w:r w:rsidRPr="00573AF0">
        <w:rPr>
          <w:kern w:val="0"/>
          <w:szCs w:val="21"/>
        </w:rPr>
        <w:t xml:space="preserve">　</w:t>
      </w:r>
    </w:p>
    <w:p w:rsidR="0053622B" w:rsidRPr="00573AF0" w:rsidRDefault="0053622B" w:rsidP="00573AF0">
      <w:pPr>
        <w:pStyle w:val="ac"/>
        <w:ind w:firstLineChars="100" w:firstLine="210"/>
        <w:rPr>
          <w:kern w:val="0"/>
          <w:szCs w:val="21"/>
        </w:rPr>
      </w:pPr>
      <w:r w:rsidRPr="00573AF0">
        <w:rPr>
          <w:kern w:val="0"/>
          <w:szCs w:val="21"/>
        </w:rPr>
        <w:t>環境に配慮した再生可能エネルギーである太陽電池産業をさらに発展させるべく、政府はドイツが取り入れたような電力の固定価格買い取り制度等の国内需要を喚起するような政策を実行する事で、国内での太陽電池産業の発展と、先進の低炭素社会を作る事が出来ると考えられる。</w:t>
      </w:r>
    </w:p>
    <w:p w:rsidR="00F8739F" w:rsidRDefault="00F8739F" w:rsidP="00573AF0">
      <w:pPr>
        <w:pStyle w:val="ac"/>
        <w:rPr>
          <w:kern w:val="0"/>
          <w:szCs w:val="21"/>
        </w:rPr>
      </w:pPr>
    </w:p>
    <w:p w:rsidR="00573AF0" w:rsidRDefault="001B4F90" w:rsidP="00573AF0">
      <w:pPr>
        <w:pStyle w:val="ac"/>
        <w:rPr>
          <w:kern w:val="0"/>
          <w:szCs w:val="21"/>
        </w:rPr>
      </w:pPr>
      <w:r>
        <w:rPr>
          <w:rFonts w:hint="eastAsia"/>
          <w:kern w:val="0"/>
          <w:szCs w:val="21"/>
        </w:rPr>
        <w:t>（</w:t>
      </w:r>
      <w:r w:rsidR="00F8739F">
        <w:rPr>
          <w:rFonts w:hint="eastAsia"/>
          <w:kern w:val="0"/>
          <w:szCs w:val="21"/>
        </w:rPr>
        <w:t>2</w:t>
      </w:r>
      <w:r>
        <w:rPr>
          <w:rFonts w:hint="eastAsia"/>
          <w:kern w:val="0"/>
          <w:szCs w:val="21"/>
        </w:rPr>
        <w:t>）</w:t>
      </w:r>
      <w:r w:rsidR="0053622B" w:rsidRPr="00573AF0">
        <w:rPr>
          <w:kern w:val="0"/>
          <w:szCs w:val="21"/>
        </w:rPr>
        <w:t>家庭用薄型テレビ</w:t>
      </w:r>
    </w:p>
    <w:p w:rsidR="00BC34F8" w:rsidRDefault="00BC34F8" w:rsidP="00573AF0">
      <w:pPr>
        <w:pStyle w:val="ac"/>
        <w:rPr>
          <w:kern w:val="0"/>
          <w:szCs w:val="21"/>
        </w:rPr>
      </w:pPr>
    </w:p>
    <w:p w:rsidR="00573AF0" w:rsidRDefault="00BC34F8" w:rsidP="00573AF0">
      <w:pPr>
        <w:pStyle w:val="ac"/>
        <w:rPr>
          <w:kern w:val="0"/>
          <w:szCs w:val="21"/>
        </w:rPr>
      </w:pPr>
      <w:r>
        <w:rPr>
          <w:rFonts w:hint="eastAsia"/>
          <w:kern w:val="0"/>
          <w:szCs w:val="21"/>
        </w:rPr>
        <w:t>①</w:t>
      </w:r>
      <w:r>
        <w:rPr>
          <w:kern w:val="0"/>
          <w:szCs w:val="21"/>
        </w:rPr>
        <w:t>現状分析</w:t>
      </w:r>
      <w:r w:rsidR="0053622B" w:rsidRPr="00573AF0">
        <w:rPr>
          <w:kern w:val="0"/>
          <w:szCs w:val="21"/>
        </w:rPr>
        <w:br/>
      </w:r>
      <w:r w:rsidR="0053622B" w:rsidRPr="00573AF0">
        <w:rPr>
          <w:kern w:val="0"/>
          <w:szCs w:val="21"/>
        </w:rPr>
        <w:t xml:space="preserve">　</w:t>
      </w:r>
    </w:p>
    <w:p w:rsidR="002300AA" w:rsidRDefault="0053622B" w:rsidP="00573AF0">
      <w:pPr>
        <w:pStyle w:val="ac"/>
        <w:ind w:firstLineChars="100" w:firstLine="210"/>
        <w:rPr>
          <w:kern w:val="0"/>
          <w:szCs w:val="21"/>
        </w:rPr>
      </w:pPr>
      <w:r w:rsidRPr="00573AF0">
        <w:rPr>
          <w:kern w:val="0"/>
          <w:szCs w:val="21"/>
        </w:rPr>
        <w:t>市場の大型画面への需要増大を受け、大型化が難しいブラウン管からプラズマ、液晶テレビの移行が進んでいる。また</w:t>
      </w:r>
      <w:r w:rsidRPr="00573AF0">
        <w:rPr>
          <w:kern w:val="0"/>
          <w:szCs w:val="21"/>
        </w:rPr>
        <w:t>2011</w:t>
      </w:r>
      <w:r w:rsidRPr="00573AF0">
        <w:rPr>
          <w:kern w:val="0"/>
          <w:szCs w:val="21"/>
        </w:rPr>
        <w:t>年に現行のアナログ放送が終わる事から、薄型テレビへの移行が急速に進んでいる。</w:t>
      </w:r>
      <w:r w:rsidRPr="00573AF0">
        <w:rPr>
          <w:kern w:val="0"/>
          <w:szCs w:val="21"/>
        </w:rPr>
        <w:t>2008</w:t>
      </w:r>
      <w:r w:rsidRPr="00573AF0">
        <w:rPr>
          <w:kern w:val="0"/>
          <w:szCs w:val="21"/>
        </w:rPr>
        <w:t>年度第二四半期の世界でのテレビ市場の表示方法別のシェアは液晶テレビ</w:t>
      </w:r>
      <w:r w:rsidRPr="00573AF0">
        <w:rPr>
          <w:kern w:val="0"/>
          <w:szCs w:val="21"/>
        </w:rPr>
        <w:t>49.8%</w:t>
      </w:r>
      <w:r w:rsidRPr="00573AF0">
        <w:rPr>
          <w:kern w:val="0"/>
          <w:szCs w:val="21"/>
        </w:rPr>
        <w:t>、プラズマテレビ</w:t>
      </w:r>
      <w:r w:rsidRPr="00573AF0">
        <w:rPr>
          <w:kern w:val="0"/>
          <w:szCs w:val="21"/>
        </w:rPr>
        <w:t>7.1%</w:t>
      </w:r>
      <w:r w:rsidRPr="00573AF0">
        <w:rPr>
          <w:kern w:val="0"/>
          <w:szCs w:val="21"/>
        </w:rPr>
        <w:t>、有機</w:t>
      </w:r>
      <w:r w:rsidRPr="00573AF0">
        <w:rPr>
          <w:kern w:val="0"/>
          <w:szCs w:val="21"/>
        </w:rPr>
        <w:t>EL</w:t>
      </w:r>
      <w:r w:rsidRPr="00573AF0">
        <w:rPr>
          <w:kern w:val="0"/>
          <w:szCs w:val="21"/>
        </w:rPr>
        <w:t>テレビ</w:t>
      </w:r>
      <w:r w:rsidRPr="00573AF0">
        <w:rPr>
          <w:kern w:val="0"/>
          <w:szCs w:val="21"/>
        </w:rPr>
        <w:t>0.0%</w:t>
      </w:r>
      <w:r w:rsidRPr="00573AF0">
        <w:rPr>
          <w:kern w:val="0"/>
          <w:szCs w:val="21"/>
        </w:rPr>
        <w:t>、</w:t>
      </w:r>
      <w:r w:rsidRPr="00573AF0">
        <w:rPr>
          <w:kern w:val="0"/>
          <w:szCs w:val="21"/>
        </w:rPr>
        <w:t>CRT</w:t>
      </w:r>
      <w:r w:rsidRPr="00573AF0">
        <w:rPr>
          <w:kern w:val="0"/>
          <w:szCs w:val="21"/>
        </w:rPr>
        <w:t>（ブラウン管）テレビ</w:t>
      </w:r>
      <w:r w:rsidRPr="00573AF0">
        <w:rPr>
          <w:kern w:val="0"/>
          <w:szCs w:val="21"/>
        </w:rPr>
        <w:t>42.9%</w:t>
      </w:r>
      <w:r w:rsidRPr="00573AF0">
        <w:rPr>
          <w:kern w:val="0"/>
          <w:szCs w:val="21"/>
        </w:rPr>
        <w:t>、リアプロジェクションテレビ</w:t>
      </w:r>
      <w:r w:rsidRPr="00573AF0">
        <w:rPr>
          <w:kern w:val="0"/>
          <w:szCs w:val="21"/>
        </w:rPr>
        <w:t>0.2%</w:t>
      </w:r>
      <w:r w:rsidRPr="00573AF0">
        <w:rPr>
          <w:kern w:val="0"/>
          <w:szCs w:val="21"/>
        </w:rPr>
        <w:t>となっており、既に半数以上が液晶、プラズマテレビ等の薄型テレビとなっている。</w:t>
      </w:r>
    </w:p>
    <w:p w:rsidR="002300AA" w:rsidRDefault="002300AA" w:rsidP="00573AF0">
      <w:pPr>
        <w:pStyle w:val="ac"/>
        <w:ind w:firstLineChars="100" w:firstLine="210"/>
        <w:rPr>
          <w:kern w:val="0"/>
          <w:szCs w:val="21"/>
        </w:rPr>
      </w:pPr>
    </w:p>
    <w:tbl>
      <w:tblPr>
        <w:tblW w:w="8508" w:type="dxa"/>
        <w:tblCellMar>
          <w:left w:w="0" w:type="dxa"/>
          <w:right w:w="0" w:type="dxa"/>
        </w:tblCellMar>
        <w:tblLook w:val="04A0"/>
      </w:tblPr>
      <w:tblGrid>
        <w:gridCol w:w="711"/>
        <w:gridCol w:w="993"/>
        <w:gridCol w:w="992"/>
        <w:gridCol w:w="1843"/>
        <w:gridCol w:w="1701"/>
        <w:gridCol w:w="2268"/>
      </w:tblGrid>
      <w:tr w:rsidR="002300AA" w:rsidRPr="00CD4546">
        <w:trPr>
          <w:trHeight w:val="1080"/>
        </w:trPr>
        <w:tc>
          <w:tcPr>
            <w:tcW w:w="71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b/>
                <w:bCs/>
                <w:kern w:val="0"/>
                <w:sz w:val="16"/>
                <w:szCs w:val="16"/>
              </w:rPr>
              <w:t>順位</w:t>
            </w:r>
            <w:r w:rsidRPr="00C97EFA">
              <w:rPr>
                <w:b/>
                <w:bCs/>
                <w:kern w:val="0"/>
                <w:sz w:val="16"/>
                <w:szCs w:val="16"/>
              </w:rPr>
              <w:t xml:space="preserve"> </w:t>
            </w:r>
          </w:p>
        </w:tc>
        <w:tc>
          <w:tcPr>
            <w:tcW w:w="99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b/>
                <w:bCs/>
                <w:kern w:val="0"/>
                <w:sz w:val="16"/>
                <w:szCs w:val="16"/>
              </w:rPr>
              <w:t>種別</w:t>
            </w:r>
            <w:r w:rsidRPr="00C97EFA">
              <w:rPr>
                <w:b/>
                <w:bCs/>
                <w:kern w:val="0"/>
                <w:sz w:val="16"/>
                <w:szCs w:val="16"/>
              </w:rPr>
              <w:t xml:space="preserve"> </w:t>
            </w:r>
          </w:p>
        </w:tc>
        <w:tc>
          <w:tcPr>
            <w:tcW w:w="992"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b/>
                <w:bCs/>
                <w:kern w:val="0"/>
                <w:sz w:val="16"/>
                <w:szCs w:val="16"/>
              </w:rPr>
              <w:t>08</w:t>
            </w:r>
            <w:r w:rsidRPr="00C97EFA">
              <w:rPr>
                <w:b/>
                <w:bCs/>
                <w:kern w:val="0"/>
                <w:sz w:val="16"/>
                <w:szCs w:val="16"/>
              </w:rPr>
              <w:t>年</w:t>
            </w:r>
            <w:r w:rsidRPr="00C97EFA">
              <w:rPr>
                <w:b/>
                <w:bCs/>
                <w:kern w:val="0"/>
                <w:sz w:val="16"/>
                <w:szCs w:val="16"/>
              </w:rPr>
              <w:t>Q</w:t>
            </w:r>
            <w:r w:rsidRPr="00C97EFA">
              <w:rPr>
                <w:b/>
                <w:bCs/>
                <w:kern w:val="0"/>
                <w:sz w:val="16"/>
                <w:szCs w:val="16"/>
              </w:rPr>
              <w:t>２出荷台数</w:t>
            </w:r>
            <w:r>
              <w:rPr>
                <w:rFonts w:hint="eastAsia"/>
                <w:b/>
                <w:bCs/>
                <w:kern w:val="0"/>
                <w:sz w:val="16"/>
                <w:szCs w:val="16"/>
              </w:rPr>
              <w:t>(</w:t>
            </w:r>
            <w:r w:rsidRPr="00C97EFA">
              <w:rPr>
                <w:b/>
                <w:bCs/>
                <w:kern w:val="0"/>
                <w:sz w:val="16"/>
                <w:szCs w:val="16"/>
              </w:rPr>
              <w:t>1000</w:t>
            </w:r>
            <w:r w:rsidRPr="00C97EFA">
              <w:rPr>
                <w:b/>
                <w:bCs/>
                <w:kern w:val="0"/>
                <w:sz w:val="16"/>
                <w:szCs w:val="16"/>
              </w:rPr>
              <w:t>台）</w:t>
            </w:r>
            <w:r w:rsidRPr="00C97EFA">
              <w:rPr>
                <w:b/>
                <w:bCs/>
                <w:kern w:val="0"/>
                <w:sz w:val="16"/>
                <w:szCs w:val="16"/>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Pr>
                <w:rFonts w:hint="eastAsia"/>
                <w:b/>
                <w:bCs/>
                <w:kern w:val="0"/>
                <w:sz w:val="16"/>
                <w:szCs w:val="16"/>
              </w:rPr>
              <w:t>0</w:t>
            </w:r>
            <w:r w:rsidRPr="00C97EFA">
              <w:rPr>
                <w:b/>
                <w:bCs/>
                <w:kern w:val="0"/>
                <w:sz w:val="16"/>
                <w:szCs w:val="16"/>
              </w:rPr>
              <w:t>8</w:t>
            </w:r>
            <w:r w:rsidRPr="00C97EFA">
              <w:rPr>
                <w:b/>
                <w:bCs/>
                <w:kern w:val="0"/>
                <w:sz w:val="16"/>
                <w:szCs w:val="16"/>
              </w:rPr>
              <w:t>年</w:t>
            </w:r>
            <w:r w:rsidRPr="00C97EFA">
              <w:rPr>
                <w:b/>
                <w:bCs/>
                <w:kern w:val="0"/>
                <w:sz w:val="16"/>
                <w:szCs w:val="16"/>
              </w:rPr>
              <w:t>Q2</w:t>
            </w:r>
            <w:r w:rsidRPr="00C97EFA">
              <w:rPr>
                <w:b/>
                <w:bCs/>
                <w:kern w:val="0"/>
                <w:sz w:val="16"/>
                <w:szCs w:val="16"/>
              </w:rPr>
              <w:t>市場シェア</w:t>
            </w:r>
            <w:r w:rsidRPr="00C97EFA">
              <w:rPr>
                <w:b/>
                <w:bCs/>
                <w:kern w:val="0"/>
                <w:sz w:val="16"/>
                <w:szCs w:val="16"/>
              </w:rPr>
              <w:t xml:space="preserve"> </w:t>
            </w:r>
          </w:p>
        </w:tc>
        <w:tc>
          <w:tcPr>
            <w:tcW w:w="170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b/>
                <w:bCs/>
                <w:kern w:val="0"/>
                <w:sz w:val="16"/>
                <w:szCs w:val="16"/>
              </w:rPr>
              <w:t>成長率（前期比）</w:t>
            </w:r>
            <w:r w:rsidRPr="00C97EFA">
              <w:rPr>
                <w:b/>
                <w:bCs/>
                <w:kern w:val="0"/>
                <w:sz w:val="16"/>
                <w:szCs w:val="16"/>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b/>
                <w:bCs/>
                <w:kern w:val="0"/>
                <w:sz w:val="16"/>
                <w:szCs w:val="16"/>
              </w:rPr>
              <w:t>成長率（前年同期比）</w:t>
            </w:r>
            <w:r w:rsidRPr="00C97EFA">
              <w:rPr>
                <w:b/>
                <w:bCs/>
                <w:kern w:val="0"/>
                <w:sz w:val="16"/>
                <w:szCs w:val="16"/>
              </w:rPr>
              <w:t xml:space="preserve"> </w:t>
            </w:r>
          </w:p>
        </w:tc>
      </w:tr>
      <w:tr w:rsidR="002300AA" w:rsidRPr="00CD4546">
        <w:trPr>
          <w:trHeight w:val="81"/>
        </w:trPr>
        <w:tc>
          <w:tcPr>
            <w:tcW w:w="71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1</w:t>
            </w:r>
          </w:p>
        </w:tc>
        <w:tc>
          <w:tcPr>
            <w:tcW w:w="99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液晶</w:t>
            </w:r>
            <w:r w:rsidRPr="00C97EFA">
              <w:rPr>
                <w:kern w:val="0"/>
                <w:sz w:val="16"/>
                <w:szCs w:val="16"/>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23668 </w:t>
            </w:r>
          </w:p>
        </w:tc>
        <w:tc>
          <w:tcPr>
            <w:tcW w:w="184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49.8% </w:t>
            </w:r>
          </w:p>
        </w:tc>
        <w:tc>
          <w:tcPr>
            <w:tcW w:w="170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12% </w:t>
            </w:r>
          </w:p>
        </w:tc>
        <w:tc>
          <w:tcPr>
            <w:tcW w:w="2268"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47% </w:t>
            </w:r>
          </w:p>
        </w:tc>
      </w:tr>
      <w:tr w:rsidR="002300AA" w:rsidRPr="00CD4546">
        <w:trPr>
          <w:trHeight w:val="273"/>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2</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プラズマ</w:t>
            </w:r>
            <w:r w:rsidRPr="00C97EFA">
              <w:rPr>
                <w:kern w:val="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3391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7.1%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22%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b/>
                <w:kern w:val="0"/>
                <w:sz w:val="16"/>
                <w:szCs w:val="16"/>
              </w:rPr>
            </w:pPr>
            <w:r w:rsidRPr="00C97EFA">
              <w:rPr>
                <w:b/>
                <w:kern w:val="0"/>
                <w:sz w:val="16"/>
                <w:szCs w:val="16"/>
              </w:rPr>
              <w:t xml:space="preserve">52% </w:t>
            </w:r>
          </w:p>
        </w:tc>
      </w:tr>
      <w:tr w:rsidR="002300AA" w:rsidRPr="00CD4546">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3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有機</w:t>
            </w:r>
            <w:r w:rsidRPr="00C97EFA">
              <w:rPr>
                <w:kern w:val="0"/>
                <w:sz w:val="16"/>
                <w:szCs w:val="16"/>
              </w:rPr>
              <w:t xml:space="preserve">EL </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1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0.0%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-35%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N/A </w:t>
            </w:r>
          </w:p>
        </w:tc>
      </w:tr>
      <w:tr w:rsidR="002300AA" w:rsidRPr="00CD4546">
        <w:trPr>
          <w:trHeight w:val="3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4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CRT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20388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42.9%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-8%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-16% </w:t>
            </w:r>
          </w:p>
        </w:tc>
      </w:tr>
      <w:tr w:rsidR="002300AA" w:rsidRPr="00CD4546">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5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Pr>
                <w:rFonts w:hint="eastAsia"/>
                <w:kern w:val="0"/>
                <w:sz w:val="16"/>
                <w:szCs w:val="16"/>
              </w:rPr>
              <w:t>RPT</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96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0.2%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-28%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-85% </w:t>
            </w:r>
          </w:p>
        </w:tc>
      </w:tr>
      <w:tr w:rsidR="002300AA" w:rsidRPr="00CD4546">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合計</w:t>
            </w:r>
            <w:r w:rsidRPr="00C97EFA">
              <w:rPr>
                <w:kern w:val="0"/>
                <w:sz w:val="16"/>
                <w:szCs w:val="16"/>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47545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100%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3%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tcPr>
          <w:p w:rsidR="002300AA" w:rsidRPr="00C97EFA" w:rsidRDefault="002300AA" w:rsidP="00F161DD">
            <w:pPr>
              <w:pStyle w:val="ac"/>
              <w:jc w:val="right"/>
              <w:rPr>
                <w:kern w:val="0"/>
                <w:sz w:val="16"/>
                <w:szCs w:val="16"/>
              </w:rPr>
            </w:pPr>
            <w:r w:rsidRPr="00C97EFA">
              <w:rPr>
                <w:kern w:val="0"/>
                <w:sz w:val="16"/>
                <w:szCs w:val="16"/>
              </w:rPr>
              <w:t xml:space="preserve">11% </w:t>
            </w:r>
          </w:p>
        </w:tc>
      </w:tr>
    </w:tbl>
    <w:p w:rsidR="002300AA" w:rsidRDefault="000E089D" w:rsidP="000E089D">
      <w:pPr>
        <w:pStyle w:val="ac"/>
        <w:ind w:firstLineChars="100" w:firstLine="180"/>
        <w:rPr>
          <w:kern w:val="0"/>
          <w:szCs w:val="21"/>
        </w:rPr>
      </w:pPr>
      <w:r>
        <w:rPr>
          <w:rStyle w:val="af"/>
          <w:rFonts w:ascii="Century" w:eastAsia="ＭＳ 明朝" w:hAnsi="Century" w:cs="Times New Roman"/>
        </w:rPr>
        <w:commentReference w:id="2"/>
      </w:r>
    </w:p>
    <w:p w:rsidR="002300AA" w:rsidRDefault="002300AA" w:rsidP="00573AF0">
      <w:pPr>
        <w:pStyle w:val="ac"/>
        <w:ind w:firstLineChars="100" w:firstLine="210"/>
        <w:rPr>
          <w:kern w:val="0"/>
          <w:szCs w:val="21"/>
        </w:rPr>
      </w:pPr>
    </w:p>
    <w:p w:rsidR="00573AF0" w:rsidRDefault="0053622B" w:rsidP="00573AF0">
      <w:pPr>
        <w:pStyle w:val="ac"/>
        <w:ind w:firstLineChars="100" w:firstLine="210"/>
        <w:rPr>
          <w:kern w:val="0"/>
          <w:szCs w:val="21"/>
        </w:rPr>
      </w:pPr>
      <w:r w:rsidRPr="00573AF0">
        <w:rPr>
          <w:kern w:val="0"/>
          <w:szCs w:val="21"/>
        </w:rPr>
        <w:t>薄型テレビは屋内空間が狭い日本の家屋の大型の画面に対する需要を満たす形で登場し、現在では年間売り上げがブラウン管テレビを上回っており、市場の規模は大きくなっている。</w:t>
      </w:r>
      <w:r w:rsidRPr="00573AF0">
        <w:rPr>
          <w:kern w:val="0"/>
          <w:szCs w:val="21"/>
        </w:rPr>
        <w:t>2008</w:t>
      </w:r>
      <w:r w:rsidRPr="00573AF0">
        <w:rPr>
          <w:kern w:val="0"/>
          <w:szCs w:val="21"/>
        </w:rPr>
        <w:t>年度の薄型テレビの年間売り上げ台数は</w:t>
      </w:r>
      <w:r w:rsidRPr="00573AF0">
        <w:rPr>
          <w:kern w:val="0"/>
          <w:szCs w:val="21"/>
        </w:rPr>
        <w:t>96,280,000</w:t>
      </w:r>
      <w:r w:rsidRPr="00573AF0">
        <w:rPr>
          <w:kern w:val="0"/>
          <w:szCs w:val="21"/>
        </w:rPr>
        <w:t>台であり</w:t>
      </w:r>
      <w:r w:rsidRPr="00573AF0">
        <w:rPr>
          <w:kern w:val="0"/>
          <w:szCs w:val="21"/>
        </w:rPr>
        <w:t>2007</w:t>
      </w:r>
      <w:r w:rsidRPr="00573AF0">
        <w:rPr>
          <w:kern w:val="0"/>
          <w:szCs w:val="21"/>
        </w:rPr>
        <w:t>年度の</w:t>
      </w:r>
      <w:r w:rsidRPr="00573AF0">
        <w:rPr>
          <w:kern w:val="0"/>
          <w:szCs w:val="21"/>
        </w:rPr>
        <w:t>74,063,000</w:t>
      </w:r>
      <w:r w:rsidRPr="00573AF0">
        <w:rPr>
          <w:kern w:val="0"/>
          <w:szCs w:val="21"/>
        </w:rPr>
        <w:t>台と比べても大きな伸びを示している。野村総合研究所の調査によると、薄型テレビの</w:t>
      </w:r>
      <w:r w:rsidRPr="00573AF0">
        <w:rPr>
          <w:kern w:val="0"/>
          <w:szCs w:val="21"/>
        </w:rPr>
        <w:t>2012</w:t>
      </w:r>
      <w:r w:rsidRPr="00573AF0">
        <w:rPr>
          <w:kern w:val="0"/>
          <w:szCs w:val="21"/>
        </w:rPr>
        <w:t>年度の市場予測は１億台を超える</w:t>
      </w:r>
      <w:r w:rsidRPr="00573AF0">
        <w:rPr>
          <w:kern w:val="0"/>
          <w:szCs w:val="21"/>
        </w:rPr>
        <w:t>148,748,000</w:t>
      </w:r>
      <w:r w:rsidRPr="00573AF0">
        <w:rPr>
          <w:kern w:val="0"/>
          <w:szCs w:val="21"/>
        </w:rPr>
        <w:t>台と予想されており、市場規模は年々増大している。</w:t>
      </w:r>
      <w:r w:rsidRPr="00573AF0">
        <w:rPr>
          <w:kern w:val="0"/>
          <w:szCs w:val="21"/>
        </w:rPr>
        <w:br/>
      </w:r>
    </w:p>
    <w:p w:rsidR="00573AF0" w:rsidRDefault="00BC34F8" w:rsidP="00573AF0">
      <w:pPr>
        <w:pStyle w:val="ac"/>
        <w:rPr>
          <w:kern w:val="0"/>
          <w:szCs w:val="21"/>
        </w:rPr>
      </w:pPr>
      <w:r>
        <w:rPr>
          <w:rFonts w:hint="eastAsia"/>
          <w:kern w:val="0"/>
          <w:szCs w:val="21"/>
        </w:rPr>
        <w:t>②</w:t>
      </w:r>
      <w:r w:rsidR="0053622B" w:rsidRPr="00573AF0">
        <w:rPr>
          <w:kern w:val="0"/>
          <w:szCs w:val="21"/>
        </w:rPr>
        <w:t>関西の現</w:t>
      </w:r>
      <w:r>
        <w:rPr>
          <w:kern w:val="0"/>
          <w:szCs w:val="21"/>
        </w:rPr>
        <w:t>状分析</w:t>
      </w:r>
      <w:r w:rsidR="0053622B" w:rsidRPr="00573AF0">
        <w:rPr>
          <w:kern w:val="0"/>
          <w:szCs w:val="21"/>
        </w:rPr>
        <w:br/>
      </w:r>
    </w:p>
    <w:p w:rsidR="00573AF0" w:rsidRDefault="0053622B" w:rsidP="00573AF0">
      <w:pPr>
        <w:pStyle w:val="ac"/>
        <w:rPr>
          <w:kern w:val="0"/>
          <w:szCs w:val="21"/>
        </w:rPr>
      </w:pPr>
      <w:r w:rsidRPr="00573AF0">
        <w:rPr>
          <w:kern w:val="0"/>
          <w:szCs w:val="21"/>
        </w:rPr>
        <w:t xml:space="preserve">　薄型テレビには大きく分けて２種類、液晶テレビとプラズマテレビがある。液晶テレビの国内シェアを見てみると、シャープ</w:t>
      </w:r>
      <w:r w:rsidRPr="00573AF0">
        <w:rPr>
          <w:kern w:val="0"/>
          <w:szCs w:val="21"/>
        </w:rPr>
        <w:t>46.1%</w:t>
      </w:r>
      <w:r w:rsidRPr="00573AF0">
        <w:rPr>
          <w:kern w:val="0"/>
          <w:szCs w:val="21"/>
        </w:rPr>
        <w:t>、ソニー</w:t>
      </w:r>
      <w:r w:rsidRPr="00573AF0">
        <w:rPr>
          <w:kern w:val="0"/>
          <w:szCs w:val="21"/>
        </w:rPr>
        <w:t>15.9%</w:t>
      </w:r>
      <w:r w:rsidRPr="00573AF0">
        <w:rPr>
          <w:kern w:val="0"/>
          <w:szCs w:val="21"/>
        </w:rPr>
        <w:t>、パナソニック</w:t>
      </w:r>
      <w:r w:rsidRPr="00573AF0">
        <w:rPr>
          <w:kern w:val="0"/>
          <w:szCs w:val="21"/>
        </w:rPr>
        <w:t>15%</w:t>
      </w:r>
      <w:r w:rsidRPr="00573AF0">
        <w:rPr>
          <w:kern w:val="0"/>
          <w:szCs w:val="21"/>
        </w:rPr>
        <w:t>、東芝</w:t>
      </w:r>
      <w:r w:rsidRPr="00573AF0">
        <w:rPr>
          <w:kern w:val="0"/>
          <w:szCs w:val="21"/>
        </w:rPr>
        <w:t>13.2%</w:t>
      </w:r>
      <w:r w:rsidRPr="00573AF0">
        <w:rPr>
          <w:kern w:val="0"/>
          <w:szCs w:val="21"/>
        </w:rPr>
        <w:t>、日本ビクター</w:t>
      </w:r>
      <w:r w:rsidRPr="00573AF0">
        <w:rPr>
          <w:kern w:val="0"/>
          <w:szCs w:val="21"/>
        </w:rPr>
        <w:t>3.1</w:t>
      </w:r>
      <w:r w:rsidRPr="00573AF0">
        <w:rPr>
          <w:kern w:val="0"/>
          <w:szCs w:val="21"/>
        </w:rPr>
        <w:t>％となっており、関西圏の企業だけで</w:t>
      </w:r>
      <w:r w:rsidRPr="00573AF0">
        <w:rPr>
          <w:kern w:val="0"/>
          <w:szCs w:val="21"/>
        </w:rPr>
        <w:t>61%</w:t>
      </w:r>
      <w:r w:rsidRPr="00573AF0">
        <w:rPr>
          <w:kern w:val="0"/>
          <w:szCs w:val="21"/>
        </w:rPr>
        <w:t>以上のシェアを占めている。プラズマテレビにおいてもパナソニックが</w:t>
      </w:r>
      <w:r w:rsidRPr="00573AF0">
        <w:rPr>
          <w:kern w:val="0"/>
          <w:szCs w:val="21"/>
        </w:rPr>
        <w:t>68.8%</w:t>
      </w:r>
      <w:r w:rsidRPr="00573AF0">
        <w:rPr>
          <w:kern w:val="0"/>
          <w:szCs w:val="21"/>
        </w:rPr>
        <w:t>のシェアを握っており、国内市場における関西勢の優位は明らかである。大阪沿岸の埋め立てによる大規模な敷地と、大型パネルの製造出荷に重要な港湾施設に隣接している等、パネル工場を建設するにあたっての優位性が大きく、地方自治体からの援助もあって、大阪沿岸部は国内での一大パネル生産地となっている。また大阪湾沿岸にパネル産業関連企業が集積しており、更なる発展が見込まれる。しかしながら国内市場では圧倒的なシェアを誇る関西も、海外のシェアと比較すると、ソニーや韓国企業にひけを取っている。</w:t>
      </w:r>
      <w:r w:rsidRPr="00573AF0">
        <w:rPr>
          <w:kern w:val="0"/>
          <w:szCs w:val="21"/>
        </w:rPr>
        <w:t>2008</w:t>
      </w:r>
      <w:r w:rsidRPr="00573AF0">
        <w:rPr>
          <w:kern w:val="0"/>
          <w:szCs w:val="21"/>
        </w:rPr>
        <w:t>年第二四半期の世界でのテレビシェアを見てみると、サムスン電子</w:t>
      </w:r>
      <w:r w:rsidRPr="00573AF0">
        <w:rPr>
          <w:kern w:val="0"/>
          <w:szCs w:val="21"/>
        </w:rPr>
        <w:t>22.8%</w:t>
      </w:r>
      <w:r w:rsidRPr="00573AF0">
        <w:rPr>
          <w:kern w:val="0"/>
          <w:szCs w:val="21"/>
        </w:rPr>
        <w:t>、ソニー</w:t>
      </w:r>
      <w:r w:rsidRPr="00573AF0">
        <w:rPr>
          <w:kern w:val="0"/>
          <w:szCs w:val="21"/>
        </w:rPr>
        <w:t>12.5%</w:t>
      </w:r>
      <w:r w:rsidRPr="00573AF0">
        <w:rPr>
          <w:kern w:val="0"/>
          <w:szCs w:val="21"/>
        </w:rPr>
        <w:t>、</w:t>
      </w:r>
      <w:r w:rsidRPr="00573AF0">
        <w:rPr>
          <w:kern w:val="0"/>
          <w:szCs w:val="21"/>
        </w:rPr>
        <w:t>LG</w:t>
      </w:r>
      <w:r w:rsidRPr="00573AF0">
        <w:rPr>
          <w:kern w:val="0"/>
          <w:szCs w:val="21"/>
        </w:rPr>
        <w:t>電子</w:t>
      </w:r>
      <w:r w:rsidRPr="00573AF0">
        <w:rPr>
          <w:kern w:val="0"/>
          <w:szCs w:val="21"/>
        </w:rPr>
        <w:t>11.5%</w:t>
      </w:r>
      <w:r w:rsidRPr="00573AF0">
        <w:rPr>
          <w:kern w:val="0"/>
          <w:szCs w:val="21"/>
        </w:rPr>
        <w:t>、パナソニック</w:t>
      </w:r>
      <w:r w:rsidRPr="00573AF0">
        <w:rPr>
          <w:kern w:val="0"/>
          <w:szCs w:val="21"/>
        </w:rPr>
        <w:t>8.4%</w:t>
      </w:r>
      <w:r w:rsidRPr="00573AF0">
        <w:rPr>
          <w:kern w:val="0"/>
          <w:szCs w:val="21"/>
        </w:rPr>
        <w:t>、シャープ</w:t>
      </w:r>
      <w:r w:rsidRPr="00573AF0">
        <w:rPr>
          <w:kern w:val="0"/>
          <w:szCs w:val="21"/>
        </w:rPr>
        <w:t>6.8%</w:t>
      </w:r>
      <w:r w:rsidRPr="00573AF0">
        <w:rPr>
          <w:kern w:val="0"/>
          <w:szCs w:val="21"/>
        </w:rPr>
        <w:t>となっており、国内市場での活況にも関わらず、苦戦を強いられている。国内市場においては圧倒的なシェアを誇るシャープやパナソニックも、市場拡大の速度に生産能力が追いつかず、生産能力の遅れから海外での市場拡大が遅れてきたが、大阪湾での大規模設備投資により、その生産規模を大きく拡大しており、今後の海外進出に大きく寄与するものと考えられる。</w:t>
      </w:r>
      <w:r w:rsidRPr="00573AF0">
        <w:rPr>
          <w:kern w:val="0"/>
          <w:szCs w:val="21"/>
        </w:rPr>
        <w:br/>
      </w:r>
    </w:p>
    <w:p w:rsidR="00573AF0" w:rsidRDefault="00BC34F8" w:rsidP="00573AF0">
      <w:pPr>
        <w:pStyle w:val="ac"/>
        <w:rPr>
          <w:kern w:val="0"/>
          <w:szCs w:val="21"/>
        </w:rPr>
      </w:pPr>
      <w:r>
        <w:rPr>
          <w:rFonts w:hint="eastAsia"/>
          <w:kern w:val="0"/>
          <w:szCs w:val="21"/>
        </w:rPr>
        <w:t>③</w:t>
      </w:r>
      <w:r>
        <w:rPr>
          <w:kern w:val="0"/>
          <w:szCs w:val="21"/>
        </w:rPr>
        <w:t>未来像</w:t>
      </w:r>
      <w:r w:rsidR="0053622B" w:rsidRPr="00573AF0">
        <w:rPr>
          <w:kern w:val="0"/>
          <w:szCs w:val="21"/>
        </w:rPr>
        <w:br/>
      </w:r>
    </w:p>
    <w:p w:rsidR="0053622B" w:rsidRPr="00573AF0" w:rsidRDefault="0053622B" w:rsidP="00573AF0">
      <w:pPr>
        <w:pStyle w:val="ac"/>
        <w:rPr>
          <w:kern w:val="0"/>
          <w:szCs w:val="21"/>
        </w:rPr>
      </w:pPr>
      <w:r w:rsidRPr="00573AF0">
        <w:rPr>
          <w:kern w:val="0"/>
          <w:szCs w:val="21"/>
        </w:rPr>
        <w:t xml:space="preserve">　関西圏における薄型テレビにおける優位性は明らかであり、大阪湾においてシャープが新規液晶パネル工場の建設に３８００億円の設備投資を計画しており、このようなパネル産業の更なる集積により更なる大型の設備投資をよび、今後の発展が期待される。</w:t>
      </w:r>
    </w:p>
    <w:p w:rsidR="00E5368C" w:rsidRDefault="00E5368C" w:rsidP="00573AF0">
      <w:pPr>
        <w:pStyle w:val="ac"/>
        <w:rPr>
          <w:kern w:val="0"/>
          <w:szCs w:val="21"/>
        </w:rPr>
      </w:pPr>
    </w:p>
    <w:p w:rsidR="00573AF0" w:rsidRDefault="0053622B" w:rsidP="00E5368C">
      <w:pPr>
        <w:pStyle w:val="ac"/>
        <w:rPr>
          <w:kern w:val="0"/>
          <w:szCs w:val="21"/>
        </w:rPr>
      </w:pPr>
      <w:r w:rsidRPr="00573AF0">
        <w:rPr>
          <w:kern w:val="0"/>
          <w:szCs w:val="21"/>
        </w:rPr>
        <w:t> </w:t>
      </w:r>
      <w:r w:rsidR="001B4F90">
        <w:rPr>
          <w:rFonts w:hint="eastAsia"/>
          <w:kern w:val="0"/>
          <w:szCs w:val="21"/>
        </w:rPr>
        <w:t>（</w:t>
      </w:r>
      <w:r w:rsidR="00E5368C">
        <w:rPr>
          <w:rFonts w:hint="eastAsia"/>
          <w:kern w:val="0"/>
          <w:szCs w:val="21"/>
        </w:rPr>
        <w:t>3</w:t>
      </w:r>
      <w:r w:rsidR="001B4F90">
        <w:rPr>
          <w:rFonts w:hint="eastAsia"/>
          <w:kern w:val="0"/>
          <w:szCs w:val="21"/>
        </w:rPr>
        <w:t>）</w:t>
      </w:r>
      <w:r w:rsidRPr="00573AF0">
        <w:rPr>
          <w:kern w:val="0"/>
          <w:szCs w:val="21"/>
        </w:rPr>
        <w:t>炭素繊維</w:t>
      </w:r>
      <w:r w:rsidRPr="00573AF0">
        <w:rPr>
          <w:kern w:val="0"/>
          <w:szCs w:val="21"/>
        </w:rPr>
        <w:br/>
      </w:r>
      <w:r w:rsidR="00BC34F8">
        <w:rPr>
          <w:rFonts w:hint="eastAsia"/>
          <w:kern w:val="0"/>
          <w:szCs w:val="21"/>
        </w:rPr>
        <w:t>①</w:t>
      </w:r>
      <w:r w:rsidR="00BC34F8">
        <w:rPr>
          <w:kern w:val="0"/>
          <w:szCs w:val="21"/>
        </w:rPr>
        <w:t>現状分析</w:t>
      </w:r>
    </w:p>
    <w:p w:rsidR="00573AF0" w:rsidRPr="00BC34F8" w:rsidRDefault="00573AF0" w:rsidP="00573AF0">
      <w:pPr>
        <w:pStyle w:val="ac"/>
        <w:ind w:firstLineChars="100" w:firstLine="210"/>
        <w:jc w:val="left"/>
      </w:pPr>
    </w:p>
    <w:p w:rsidR="00EE40C6" w:rsidRDefault="0053622B" w:rsidP="00573AF0">
      <w:pPr>
        <w:pStyle w:val="ac"/>
        <w:ind w:firstLineChars="100" w:firstLine="210"/>
        <w:jc w:val="left"/>
      </w:pPr>
      <w:r w:rsidRPr="00573AF0">
        <w:t>太陽光発電と同様に、環境に配慮した製品・素材として、鉄鋼の４分の１の重さで強度が１０倍と軽くて丈夫である炭素繊維が注目されている。炭素繊維には、原料別の分類として</w:t>
      </w:r>
      <w:r w:rsidRPr="00573AF0">
        <w:t>PAN</w:t>
      </w:r>
      <w:r w:rsidRPr="00573AF0">
        <w:t>系、ピッチ系およびレーヨン系があり、ここでは航空宇宙や産業分野の構造材料向け、スポーツ・レジャー分野など広範囲に使用されており、炭素繊維市場の</w:t>
      </w:r>
      <w:r w:rsidRPr="00573AF0">
        <w:t>90%</w:t>
      </w:r>
      <w:r w:rsidRPr="00573AF0">
        <w:t>程度を占める</w:t>
      </w:r>
      <w:r w:rsidRPr="00573AF0">
        <w:t>PAN</w:t>
      </w:r>
      <w:r w:rsidRPr="00573AF0">
        <w:t>系レギュラートウ炭素繊維に焦点を当てる。</w:t>
      </w:r>
      <w:r w:rsidRPr="00573AF0">
        <w:br/>
      </w:r>
      <w:r w:rsidRPr="00573AF0">
        <w:t>炭素繊維の使用による効用として、</w:t>
      </w:r>
      <w:r w:rsidRPr="00573AF0">
        <w:rPr>
          <w:rFonts w:hint="eastAsia"/>
        </w:rPr>
        <w:t>①</w:t>
      </w:r>
      <w:r w:rsidRPr="00573AF0">
        <w:t>温室効果ガス排出の原因とされる化石燃料を使用する自動車や航空機等の軽量化による燃料効率の向上、</w:t>
      </w:r>
      <w:r w:rsidRPr="00573AF0">
        <w:rPr>
          <w:rFonts w:hint="eastAsia"/>
        </w:rPr>
        <w:t>②</w:t>
      </w:r>
      <w:r w:rsidRPr="00573AF0">
        <w:t>風車、太陽光パネル、ＣＮＧ（圧縮天然ガス）タンクの材料として使用することによる石油代替エネルギー拡大、</w:t>
      </w:r>
      <w:r w:rsidRPr="00573AF0">
        <w:rPr>
          <w:rFonts w:hint="eastAsia"/>
        </w:rPr>
        <w:t>③</w:t>
      </w:r>
      <w:r w:rsidRPr="00573AF0">
        <w:t>炭素繊維の特性（耐腐食性、高剛性、</w:t>
      </w:r>
      <w:r w:rsidRPr="00573AF0">
        <w:t>X</w:t>
      </w:r>
      <w:r w:rsidRPr="00573AF0">
        <w:t>線透過性）を備えることによる電子機器、医療機器の高性能化など、主に環境への貢献が挙げられる。また、炭素繊維協会によると、２０１０年に年間１０００トン規模の炭素繊維リサイクルを実用化するとの報告もあり、炭素繊維の需要は今後より拡大すると考えられる。</w:t>
      </w: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EE40C6" w:rsidRDefault="00EE40C6" w:rsidP="00573AF0">
      <w:pPr>
        <w:pStyle w:val="ac"/>
        <w:ind w:firstLineChars="100" w:firstLine="210"/>
        <w:jc w:val="left"/>
      </w:pPr>
    </w:p>
    <w:p w:rsidR="00573AF0" w:rsidRDefault="00EE40C6" w:rsidP="00573AF0">
      <w:pPr>
        <w:pStyle w:val="ac"/>
        <w:ind w:firstLineChars="100" w:firstLine="210"/>
        <w:jc w:val="left"/>
      </w:pPr>
      <w:r w:rsidRPr="00EE40C6">
        <w:rPr>
          <w:noProof/>
        </w:rPr>
        <w:drawing>
          <wp:inline distT="0" distB="0" distL="0" distR="0">
            <wp:extent cx="5189054" cy="2856562"/>
            <wp:effectExtent l="19050" t="0" r="11596" b="938"/>
            <wp:docPr id="1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3622B" w:rsidRPr="00573AF0">
        <w:br/>
      </w:r>
      <w:r w:rsidR="0053622B" w:rsidRPr="00573AF0">
        <w:t>炭素繊維の世界需要は年々増加の傾向にあり、２００５年の東邦テナックスの調査（図）によると、２０１０年までの炭素繊維市場の年成長率は平均して約１３％に達する見通しとなっている。最大の成長地域は北米及び欧州で年率</w:t>
      </w:r>
      <w:r w:rsidR="0053622B" w:rsidRPr="00573AF0">
        <w:t>14-15%</w:t>
      </w:r>
      <w:r w:rsidR="0053622B" w:rsidRPr="00573AF0">
        <w:t>増</w:t>
      </w:r>
      <w:r w:rsidR="0053622B" w:rsidRPr="00573AF0">
        <w:t>,</w:t>
      </w:r>
      <w:r w:rsidR="0053622B" w:rsidRPr="00573AF0">
        <w:t>日本及びアジアの成長率は</w:t>
      </w:r>
      <w:r w:rsidR="0053622B" w:rsidRPr="00573AF0">
        <w:t>6-9%</w:t>
      </w:r>
      <w:r w:rsidR="0053622B" w:rsidRPr="00573AF0">
        <w:t>増である。</w:t>
      </w:r>
      <w:r w:rsidR="0053622B" w:rsidRPr="00573AF0">
        <w:t>2010</w:t>
      </w:r>
      <w:r w:rsidR="0053622B" w:rsidRPr="00573AF0">
        <w:t>年欧州は世界市場の</w:t>
      </w:r>
      <w:r w:rsidR="0053622B" w:rsidRPr="00573AF0">
        <w:t>35%</w:t>
      </w:r>
      <w:r w:rsidR="0053622B" w:rsidRPr="00573AF0">
        <w:t>を消費し</w:t>
      </w:r>
      <w:r w:rsidR="0053622B" w:rsidRPr="00573AF0">
        <w:t>,</w:t>
      </w:r>
      <w:r w:rsidR="0053622B" w:rsidRPr="00573AF0">
        <w:t>北米が</w:t>
      </w:r>
      <w:r w:rsidR="0053622B" w:rsidRPr="00573AF0">
        <w:t>31%,</w:t>
      </w:r>
      <w:r w:rsidR="0053622B" w:rsidRPr="00573AF0">
        <w:t>アジアが</w:t>
      </w:r>
      <w:r w:rsidR="0053622B" w:rsidRPr="00573AF0">
        <w:t>19%,</w:t>
      </w:r>
      <w:r w:rsidR="0053622B" w:rsidRPr="00573AF0">
        <w:t>日本が</w:t>
      </w:r>
      <w:r w:rsidR="0053622B" w:rsidRPr="00573AF0">
        <w:t>15%</w:t>
      </w:r>
      <w:r w:rsidR="0053622B" w:rsidRPr="00573AF0">
        <w:t>と推測される。</w:t>
      </w:r>
      <w:r w:rsidR="0053622B" w:rsidRPr="00573AF0">
        <w:br/>
      </w:r>
    </w:p>
    <w:p w:rsidR="00573AF0" w:rsidRDefault="0053622B" w:rsidP="00573AF0">
      <w:pPr>
        <w:pStyle w:val="ac"/>
        <w:ind w:firstLineChars="100" w:firstLine="210"/>
        <w:jc w:val="left"/>
        <w:rPr>
          <w:kern w:val="0"/>
          <w:szCs w:val="21"/>
        </w:rPr>
      </w:pPr>
      <w:r w:rsidRPr="00573AF0">
        <w:t>図で示したように、炭素繊維用途の推移を見てみると、</w:t>
      </w:r>
      <w:r w:rsidRPr="00573AF0">
        <w:t>1990</w:t>
      </w:r>
      <w:r w:rsidRPr="00573AF0">
        <w:t>年代後半まではスポーツ向け製品が全体の３割弱を占めていた。しかし近年ではスポーツ分野での用途が相対的に減少し、ボーイング</w:t>
      </w:r>
      <w:r w:rsidRPr="00573AF0">
        <w:t>787</w:t>
      </w:r>
      <w:r w:rsidRPr="00573AF0">
        <w:t>・エアバス</w:t>
      </w:r>
      <w:r w:rsidRPr="00573AF0">
        <w:t>A380</w:t>
      </w:r>
      <w:r w:rsidRPr="00573AF0">
        <w:t>などの大型プロジェクト受注による航空機用途や、自動車関連・風力発電用プロペラ・燃料電池用水素タンク・深海油田開発用パイプといった産業用途が急拡大している。</w:t>
      </w:r>
      <w:r w:rsidRPr="00573AF0">
        <w:br/>
      </w:r>
      <w:r w:rsidRPr="00573AF0">
        <w:rPr>
          <w:kern w:val="0"/>
          <w:szCs w:val="21"/>
        </w:rPr>
        <w:br/>
      </w:r>
      <w:r w:rsidR="00BC34F8">
        <w:rPr>
          <w:rFonts w:hint="eastAsia"/>
          <w:kern w:val="0"/>
          <w:szCs w:val="21"/>
        </w:rPr>
        <w:t>②</w:t>
      </w:r>
      <w:r w:rsidR="00BC34F8">
        <w:rPr>
          <w:kern w:val="0"/>
          <w:szCs w:val="21"/>
        </w:rPr>
        <w:t>関西の現状分析</w:t>
      </w:r>
      <w:r w:rsidRPr="00573AF0">
        <w:rPr>
          <w:kern w:val="0"/>
          <w:szCs w:val="21"/>
        </w:rPr>
        <w:br/>
      </w:r>
    </w:p>
    <w:p w:rsidR="00EE40C6" w:rsidRDefault="00573AF0" w:rsidP="00573AF0">
      <w:pPr>
        <w:pStyle w:val="ac"/>
        <w:ind w:firstLineChars="100" w:firstLine="210"/>
        <w:jc w:val="left"/>
        <w:rPr>
          <w:kern w:val="0"/>
          <w:szCs w:val="21"/>
        </w:rPr>
      </w:pPr>
      <w:r>
        <w:rPr>
          <w:rFonts w:hint="eastAsia"/>
          <w:kern w:val="0"/>
          <w:szCs w:val="21"/>
        </w:rPr>
        <w:t xml:space="preserve">　</w:t>
      </w:r>
      <w:r w:rsidR="0053622B" w:rsidRPr="00573AF0">
        <w:rPr>
          <w:kern w:val="0"/>
          <w:szCs w:val="21"/>
        </w:rPr>
        <w:t>JEC Composites</w:t>
      </w:r>
      <w:r w:rsidR="0053622B" w:rsidRPr="00573AF0">
        <w:rPr>
          <w:kern w:val="0"/>
          <w:szCs w:val="21"/>
        </w:rPr>
        <w:t>社によると、</w:t>
      </w:r>
      <w:r w:rsidR="0053622B" w:rsidRPr="00573AF0">
        <w:rPr>
          <w:kern w:val="0"/>
          <w:szCs w:val="21"/>
        </w:rPr>
        <w:t>2008</w:t>
      </w:r>
      <w:r w:rsidR="0053622B" w:rsidRPr="00573AF0">
        <w:rPr>
          <w:kern w:val="0"/>
          <w:szCs w:val="21"/>
        </w:rPr>
        <w:t>年の世界のＰＡＮ系炭素繊維（スモールトウ、レギュラートウ）の総生産量は</w:t>
      </w:r>
      <w:r w:rsidR="0053622B" w:rsidRPr="00573AF0">
        <w:rPr>
          <w:kern w:val="0"/>
          <w:szCs w:val="21"/>
        </w:rPr>
        <w:t>48550</w:t>
      </w:r>
      <w:r w:rsidR="0053622B" w:rsidRPr="00573AF0">
        <w:rPr>
          <w:kern w:val="0"/>
          <w:szCs w:val="21"/>
        </w:rPr>
        <w:t>トンとなっており、この内訳を各社のシェアで表すと、東レグループ（大阪）</w:t>
      </w:r>
      <w:r w:rsidR="0053622B" w:rsidRPr="00573AF0">
        <w:rPr>
          <w:kern w:val="0"/>
          <w:szCs w:val="21"/>
        </w:rPr>
        <w:t>36.9%</w:t>
      </w:r>
      <w:r w:rsidR="0053622B" w:rsidRPr="00573AF0">
        <w:rPr>
          <w:kern w:val="0"/>
          <w:szCs w:val="21"/>
        </w:rPr>
        <w:t>、東邦テナックスグループ（東京）</w:t>
      </w:r>
      <w:r w:rsidR="0053622B" w:rsidRPr="00573AF0">
        <w:rPr>
          <w:kern w:val="0"/>
          <w:szCs w:val="21"/>
        </w:rPr>
        <w:t>24.3%</w:t>
      </w:r>
      <w:r w:rsidR="0053622B" w:rsidRPr="00573AF0">
        <w:rPr>
          <w:kern w:val="0"/>
          <w:szCs w:val="21"/>
        </w:rPr>
        <w:t>、三菱レーヨングループ（東京）</w:t>
      </w:r>
      <w:r w:rsidR="0053622B" w:rsidRPr="00573AF0">
        <w:rPr>
          <w:kern w:val="0"/>
          <w:szCs w:val="21"/>
        </w:rPr>
        <w:t>16.3%</w:t>
      </w:r>
      <w:r w:rsidR="0053622B" w:rsidRPr="00573AF0">
        <w:rPr>
          <w:kern w:val="0"/>
          <w:szCs w:val="21"/>
        </w:rPr>
        <w:t>、フォルモサ・プラスチック（台湾）</w:t>
      </w:r>
      <w:r w:rsidR="0053622B" w:rsidRPr="00573AF0">
        <w:rPr>
          <w:kern w:val="0"/>
          <w:szCs w:val="21"/>
        </w:rPr>
        <w:t>10.6%</w:t>
      </w:r>
      <w:r w:rsidR="0053622B" w:rsidRPr="00573AF0">
        <w:rPr>
          <w:kern w:val="0"/>
          <w:szCs w:val="21"/>
        </w:rPr>
        <w:t>、ヘクセル（米国）</w:t>
      </w:r>
      <w:r w:rsidR="0053622B" w:rsidRPr="00573AF0">
        <w:rPr>
          <w:kern w:val="0"/>
          <w:szCs w:val="21"/>
        </w:rPr>
        <w:t>8.0%</w:t>
      </w:r>
      <w:r w:rsidR="0053622B" w:rsidRPr="00573AF0">
        <w:rPr>
          <w:kern w:val="0"/>
          <w:szCs w:val="21"/>
        </w:rPr>
        <w:t>、サイテック（米国）</w:t>
      </w:r>
      <w:r w:rsidR="0053622B" w:rsidRPr="00573AF0">
        <w:rPr>
          <w:kern w:val="0"/>
          <w:szCs w:val="21"/>
        </w:rPr>
        <w:t>3.9%</w:t>
      </w:r>
      <w:r w:rsidR="0053622B" w:rsidRPr="00573AF0">
        <w:rPr>
          <w:kern w:val="0"/>
          <w:szCs w:val="21"/>
        </w:rPr>
        <w:t>であり、一国当たり生産割合は日本が</w:t>
      </w:r>
      <w:r w:rsidR="0053622B" w:rsidRPr="00573AF0">
        <w:rPr>
          <w:kern w:val="0"/>
          <w:szCs w:val="21"/>
        </w:rPr>
        <w:t>77.4%</w:t>
      </w:r>
      <w:r w:rsidR="0053622B" w:rsidRPr="00573AF0">
        <w:rPr>
          <w:kern w:val="0"/>
          <w:szCs w:val="21"/>
        </w:rPr>
        <w:t>を占め世界トップとなっている。また、大阪・東京二本社制である東レが世界シェア</w:t>
      </w:r>
      <w:r w:rsidR="0053622B" w:rsidRPr="00573AF0">
        <w:rPr>
          <w:kern w:val="0"/>
          <w:szCs w:val="21"/>
        </w:rPr>
        <w:t>1</w:t>
      </w:r>
      <w:r w:rsidR="0053622B" w:rsidRPr="00573AF0">
        <w:rPr>
          <w:kern w:val="0"/>
          <w:szCs w:val="21"/>
        </w:rPr>
        <w:t>位で、</w:t>
      </w:r>
      <w:r w:rsidR="0053622B" w:rsidRPr="00573AF0">
        <w:rPr>
          <w:kern w:val="0"/>
          <w:szCs w:val="21"/>
        </w:rPr>
        <w:t>37</w:t>
      </w:r>
      <w:r w:rsidR="0053622B" w:rsidRPr="00573AF0">
        <w:rPr>
          <w:kern w:val="0"/>
          <w:szCs w:val="21"/>
        </w:rPr>
        <w:t>年間も炭素繊維のトップサプライヤーとして君臨している。</w:t>
      </w:r>
    </w:p>
    <w:p w:rsidR="00EE40C6" w:rsidRDefault="00EE40C6" w:rsidP="00573AF0">
      <w:pPr>
        <w:pStyle w:val="ac"/>
        <w:ind w:firstLineChars="100" w:firstLine="210"/>
        <w:jc w:val="left"/>
        <w:rPr>
          <w:kern w:val="0"/>
          <w:szCs w:val="21"/>
        </w:rPr>
      </w:pPr>
    </w:p>
    <w:p w:rsidR="00EE40C6" w:rsidRDefault="00EE40C6" w:rsidP="00573AF0">
      <w:pPr>
        <w:pStyle w:val="ac"/>
        <w:ind w:firstLineChars="100" w:firstLine="210"/>
        <w:jc w:val="left"/>
        <w:rPr>
          <w:kern w:val="0"/>
          <w:szCs w:val="21"/>
        </w:rPr>
      </w:pPr>
    </w:p>
    <w:p w:rsidR="00573AF0" w:rsidRDefault="00EE40C6" w:rsidP="00573AF0">
      <w:pPr>
        <w:pStyle w:val="ac"/>
        <w:ind w:firstLineChars="100" w:firstLine="210"/>
        <w:jc w:val="left"/>
        <w:rPr>
          <w:kern w:val="0"/>
          <w:szCs w:val="21"/>
        </w:rPr>
      </w:pPr>
      <w:r w:rsidRPr="00EE40C6">
        <w:rPr>
          <w:noProof/>
          <w:kern w:val="0"/>
          <w:szCs w:val="21"/>
        </w:rPr>
        <w:drawing>
          <wp:inline distT="0" distB="0" distL="0" distR="0">
            <wp:extent cx="4572000" cy="2743200"/>
            <wp:effectExtent l="19050" t="0" r="19050" b="0"/>
            <wp:docPr id="1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3622B" w:rsidRPr="00573AF0">
        <w:rPr>
          <w:kern w:val="0"/>
          <w:szCs w:val="21"/>
        </w:rPr>
        <w:br/>
      </w:r>
      <w:r w:rsidR="0053622B" w:rsidRPr="00573AF0">
        <w:rPr>
          <w:kern w:val="0"/>
          <w:szCs w:val="21"/>
        </w:rPr>
        <w:t>東レは自社炭素繊維「トレカ」の高い機能性、東レは</w:t>
      </w:r>
      <w:r w:rsidR="0053622B" w:rsidRPr="00573AF0">
        <w:rPr>
          <w:kern w:val="0"/>
          <w:szCs w:val="21"/>
        </w:rPr>
        <w:t>1971</w:t>
      </w:r>
      <w:r w:rsidR="0053622B" w:rsidRPr="00573AF0">
        <w:rPr>
          <w:kern w:val="0"/>
          <w:szCs w:val="21"/>
        </w:rPr>
        <w:t>年に世界で初めて</w:t>
      </w:r>
      <w:r w:rsidR="0053622B" w:rsidRPr="00573AF0">
        <w:rPr>
          <w:kern w:val="0"/>
          <w:szCs w:val="21"/>
        </w:rPr>
        <w:t>PAN</w:t>
      </w:r>
      <w:r w:rsidR="0053622B" w:rsidRPr="00573AF0">
        <w:rPr>
          <w:kern w:val="0"/>
          <w:szCs w:val="21"/>
        </w:rPr>
        <w:t>系炭素繊維の商品化に成功して以来、原糸であるアクリル長繊維（プリカーサ）から中間製品であるプリプレグ、さらに加工品であるコンポジットにいたるまで、全てを内部で生産している。そうして完成した高い技術力、機能性をもった東レ独自製品「トレカ」を武器に、特に航空機用途では世界生産高</w:t>
      </w:r>
      <w:r w:rsidR="0053622B" w:rsidRPr="00573AF0">
        <w:rPr>
          <w:kern w:val="0"/>
          <w:szCs w:val="21"/>
        </w:rPr>
        <w:t>50%</w:t>
      </w:r>
      <w:r w:rsidR="0053622B" w:rsidRPr="00573AF0">
        <w:rPr>
          <w:kern w:val="0"/>
          <w:szCs w:val="21"/>
        </w:rPr>
        <w:t>を超える圧倒的なシェアを維持している。その結果、</w:t>
      </w:r>
      <w:r w:rsidR="0053622B" w:rsidRPr="00573AF0">
        <w:rPr>
          <w:kern w:val="0"/>
          <w:szCs w:val="21"/>
        </w:rPr>
        <w:t>2004</w:t>
      </w:r>
      <w:r w:rsidR="0053622B" w:rsidRPr="00573AF0">
        <w:rPr>
          <w:kern w:val="0"/>
          <w:szCs w:val="21"/>
        </w:rPr>
        <w:t>年からボーイング社と１８年間の長期供給計画を締結しており、Ｂ７７７やＢ７８７などへの一次構造材の独占供給と次期航空機への継続採用を確立している。</w:t>
      </w:r>
      <w:r w:rsidR="0053622B" w:rsidRPr="00573AF0">
        <w:rPr>
          <w:kern w:val="0"/>
          <w:szCs w:val="21"/>
        </w:rPr>
        <w:br/>
      </w:r>
      <w:r w:rsidR="0053622B" w:rsidRPr="00573AF0">
        <w:rPr>
          <w:kern w:val="0"/>
          <w:szCs w:val="21"/>
        </w:rPr>
        <w:br/>
      </w:r>
      <w:r w:rsidR="00BC34F8">
        <w:rPr>
          <w:rFonts w:hint="eastAsia"/>
          <w:kern w:val="0"/>
          <w:szCs w:val="21"/>
        </w:rPr>
        <w:t>③</w:t>
      </w:r>
      <w:r w:rsidR="00BC34F8">
        <w:rPr>
          <w:kern w:val="0"/>
          <w:szCs w:val="21"/>
        </w:rPr>
        <w:t>未来像</w:t>
      </w:r>
      <w:r w:rsidR="0053622B" w:rsidRPr="00573AF0">
        <w:rPr>
          <w:kern w:val="0"/>
          <w:szCs w:val="21"/>
        </w:rPr>
        <w:br/>
      </w:r>
    </w:p>
    <w:p w:rsidR="00BC34F8" w:rsidRDefault="00573AF0" w:rsidP="00BC34F8">
      <w:pPr>
        <w:pStyle w:val="ac"/>
        <w:ind w:firstLineChars="100" w:firstLine="210"/>
        <w:jc w:val="left"/>
        <w:rPr>
          <w:kern w:val="0"/>
          <w:szCs w:val="21"/>
        </w:rPr>
      </w:pPr>
      <w:r>
        <w:rPr>
          <w:rFonts w:hint="eastAsia"/>
          <w:kern w:val="0"/>
          <w:szCs w:val="21"/>
        </w:rPr>
        <w:t xml:space="preserve">　</w:t>
      </w:r>
      <w:r w:rsidR="0053622B" w:rsidRPr="00573AF0">
        <w:rPr>
          <w:kern w:val="0"/>
          <w:szCs w:val="21"/>
        </w:rPr>
        <w:t>前述したが、炭素繊維市場は寡占化しており、航空機用途など厳格な品質管理が要求される先端分野には新規メーカーは参入し難く、製品価格が現在の水準から急激に崩れるといった可能性は低い。よって、よほど新たな繊維や市場の変化がない限り、安定した収益を得ることができる。その反面、価格が鉄の数十倍と高いことから、自動車用途に関しては高級自動車にしか採用されていないようにコスト削減にはまだ十分の余地があるといえる。</w:t>
      </w:r>
      <w:r w:rsidR="0053622B" w:rsidRPr="00573AF0">
        <w:rPr>
          <w:kern w:val="0"/>
          <w:szCs w:val="21"/>
        </w:rPr>
        <w:br/>
      </w:r>
      <w:r w:rsidR="0053622B" w:rsidRPr="00573AF0">
        <w:rPr>
          <w:kern w:val="0"/>
          <w:szCs w:val="21"/>
        </w:rPr>
        <w:t>炭素繊維自体は化石燃料代替・クリーンエネルギー、省エネ、高性能製品といった時代のニーズに合致していることからより一層の事業拡大に関西企業は貢献できるだろう。</w:t>
      </w:r>
    </w:p>
    <w:p w:rsidR="00BC34F8" w:rsidRDefault="00BC34F8" w:rsidP="00BC34F8">
      <w:pPr>
        <w:pStyle w:val="ac"/>
        <w:jc w:val="left"/>
        <w:rPr>
          <w:kern w:val="0"/>
          <w:szCs w:val="21"/>
        </w:rPr>
      </w:pPr>
    </w:p>
    <w:p w:rsidR="00BE78A0" w:rsidRDefault="00BE78A0" w:rsidP="00BC34F8">
      <w:pPr>
        <w:pStyle w:val="ac"/>
        <w:jc w:val="left"/>
      </w:pPr>
    </w:p>
    <w:p w:rsidR="00BC34F8" w:rsidRPr="00BC34F8" w:rsidRDefault="00BC34F8" w:rsidP="00BC34F8">
      <w:pPr>
        <w:pStyle w:val="ac"/>
        <w:jc w:val="left"/>
        <w:rPr>
          <w:kern w:val="0"/>
          <w:szCs w:val="21"/>
        </w:rPr>
      </w:pPr>
      <w:r>
        <w:rPr>
          <w:rFonts w:hint="eastAsia"/>
        </w:rPr>
        <w:t>（４）海水淡水化</w:t>
      </w:r>
    </w:p>
    <w:p w:rsidR="00BC34F8" w:rsidRDefault="00BC34F8" w:rsidP="00BC34F8">
      <w:pPr>
        <w:ind w:firstLineChars="100" w:firstLine="210"/>
      </w:pPr>
    </w:p>
    <w:p w:rsidR="00BC34F8" w:rsidRDefault="00BC34F8" w:rsidP="00BC34F8">
      <w:pPr>
        <w:ind w:firstLineChars="100" w:firstLine="210"/>
      </w:pPr>
      <w:r>
        <w:rPr>
          <w:rFonts w:hint="eastAsia"/>
        </w:rPr>
        <w:t>①現状分析</w:t>
      </w:r>
    </w:p>
    <w:p w:rsidR="00BC34F8" w:rsidRDefault="00BC34F8" w:rsidP="00BC34F8">
      <w:r>
        <w:rPr>
          <w:rFonts w:hint="eastAsia"/>
        </w:rPr>
        <w:t xml:space="preserve">　</w:t>
      </w:r>
    </w:p>
    <w:p w:rsidR="00BC34F8" w:rsidRDefault="00BC34F8" w:rsidP="00BC34F8">
      <w:pPr>
        <w:ind w:firstLineChars="100" w:firstLine="210"/>
        <w:rPr>
          <w:color w:val="FF0000"/>
        </w:rPr>
      </w:pPr>
      <w:r>
        <w:rPr>
          <w:rFonts w:hint="eastAsia"/>
        </w:rPr>
        <w:t>近年、世界的な人口増加</w:t>
      </w:r>
      <w:r w:rsidRPr="009E1515">
        <w:rPr>
          <w:rFonts w:hint="eastAsia"/>
          <w:color w:val="FF0000"/>
        </w:rPr>
        <w:t>（グラフ１）</w:t>
      </w:r>
      <w:r>
        <w:rPr>
          <w:rFonts w:hint="eastAsia"/>
        </w:rPr>
        <w:t>や経済発展に伴って水の需要が増えているほか</w:t>
      </w:r>
      <w:r w:rsidRPr="009E1515">
        <w:rPr>
          <w:rFonts w:hint="eastAsia"/>
          <w:color w:val="FF0000"/>
        </w:rPr>
        <w:t>（グラフ２）</w:t>
      </w:r>
      <w:r>
        <w:rPr>
          <w:rFonts w:hint="eastAsia"/>
        </w:rPr>
        <w:t>、地球温暖化の影響によって世界各地で水不足に見舞われる危険性がある。一方、水不足問題を解消する有効な手段として、海水から塩分を取り除いて真水を作る淡水化技術が注目されている。</w:t>
      </w:r>
    </w:p>
    <w:p w:rsidR="00BC34F8" w:rsidRPr="009E1515" w:rsidRDefault="00BC34F8" w:rsidP="00BC34F8">
      <w:pPr>
        <w:rPr>
          <w:color w:val="FF0000"/>
        </w:rPr>
      </w:pPr>
      <w:r w:rsidRPr="009E1515">
        <w:rPr>
          <w:rFonts w:hint="eastAsia"/>
          <w:color w:val="FF0000"/>
        </w:rPr>
        <w:t>グラフ</w:t>
      </w:r>
      <w:commentRangeStart w:id="3"/>
      <w:r w:rsidRPr="009E1515">
        <w:rPr>
          <w:rFonts w:hint="eastAsia"/>
          <w:color w:val="FF0000"/>
        </w:rPr>
        <w:t>１</w:t>
      </w:r>
      <w:commentRangeEnd w:id="3"/>
      <w:r w:rsidR="00EF28B8">
        <w:rPr>
          <w:rStyle w:val="af"/>
        </w:rPr>
        <w:commentReference w:id="3"/>
      </w:r>
    </w:p>
    <w:p w:rsidR="00BC34F8" w:rsidRDefault="00BC34F8" w:rsidP="00BC34F8">
      <w:r>
        <w:rPr>
          <w:noProof/>
        </w:rPr>
        <w:drawing>
          <wp:inline distT="0" distB="0" distL="0" distR="0">
            <wp:extent cx="4603750" cy="240157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4603750" cy="2401570"/>
                    </a:xfrm>
                    <a:prstGeom prst="rect">
                      <a:avLst/>
                    </a:prstGeom>
                    <a:noFill/>
                    <a:ln w="9525">
                      <a:noFill/>
                      <a:miter lim="800000"/>
                      <a:headEnd/>
                      <a:tailEnd/>
                    </a:ln>
                  </pic:spPr>
                </pic:pic>
              </a:graphicData>
            </a:graphic>
          </wp:inline>
        </w:drawing>
      </w:r>
    </w:p>
    <w:p w:rsidR="00BC34F8" w:rsidRDefault="00BC34F8" w:rsidP="00BC34F8">
      <w:r w:rsidRPr="00C961AF">
        <w:rPr>
          <w:rFonts w:hint="eastAsia"/>
        </w:rPr>
        <w:t>総務省統計局「平成</w:t>
      </w:r>
      <w:r w:rsidRPr="00C961AF">
        <w:rPr>
          <w:rFonts w:hint="eastAsia"/>
        </w:rPr>
        <w:t>12</w:t>
      </w:r>
      <w:r w:rsidRPr="00C961AF">
        <w:rPr>
          <w:rFonts w:hint="eastAsia"/>
        </w:rPr>
        <w:t>年　国勢調査最終報告書」「平成</w:t>
      </w:r>
      <w:r w:rsidRPr="00C961AF">
        <w:rPr>
          <w:rFonts w:hint="eastAsia"/>
        </w:rPr>
        <w:t>17</w:t>
      </w:r>
      <w:r w:rsidRPr="00C961AF">
        <w:rPr>
          <w:rFonts w:hint="eastAsia"/>
        </w:rPr>
        <w:t>年　国勢調査」「</w:t>
      </w:r>
      <w:r w:rsidRPr="00C961AF">
        <w:rPr>
          <w:rFonts w:hint="eastAsia"/>
        </w:rPr>
        <w:t>10</w:t>
      </w:r>
      <w:r w:rsidRPr="00C961AF">
        <w:rPr>
          <w:rFonts w:hint="eastAsia"/>
        </w:rPr>
        <w:t>月１日現在推計人口」及び国立社会保障・人口問題研究所「日本の将来推計人口（平成</w:t>
      </w:r>
      <w:r w:rsidRPr="00C961AF">
        <w:rPr>
          <w:rFonts w:hint="eastAsia"/>
        </w:rPr>
        <w:t>18</w:t>
      </w:r>
      <w:r w:rsidRPr="00C961AF">
        <w:rPr>
          <w:rFonts w:hint="eastAsia"/>
        </w:rPr>
        <w:t>年</w:t>
      </w:r>
      <w:r w:rsidRPr="00C961AF">
        <w:rPr>
          <w:rFonts w:hint="eastAsia"/>
        </w:rPr>
        <w:t>12</w:t>
      </w:r>
      <w:r w:rsidRPr="00C961AF">
        <w:rPr>
          <w:rFonts w:hint="eastAsia"/>
        </w:rPr>
        <w:t>月推計）」</w:t>
      </w:r>
      <w:r>
        <w:rPr>
          <w:rFonts w:hint="eastAsia"/>
        </w:rPr>
        <w:t>より作成。</w:t>
      </w:r>
    </w:p>
    <w:p w:rsidR="00BC34F8" w:rsidRDefault="00BC34F8" w:rsidP="00BC34F8"/>
    <w:p w:rsidR="00BC34F8" w:rsidRDefault="00BC34F8" w:rsidP="00BC34F8"/>
    <w:p w:rsidR="00BC34F8" w:rsidRPr="009E1515" w:rsidRDefault="00BC34F8" w:rsidP="00BC34F8">
      <w:pPr>
        <w:rPr>
          <w:color w:val="FF0000"/>
        </w:rPr>
      </w:pPr>
      <w:r w:rsidRPr="009E1515">
        <w:rPr>
          <w:rFonts w:hint="eastAsia"/>
          <w:color w:val="FF0000"/>
        </w:rPr>
        <w:t>グラフ２</w:t>
      </w:r>
    </w:p>
    <w:p w:rsidR="00BC34F8" w:rsidRDefault="00BC34F8" w:rsidP="00BC34F8">
      <w:r>
        <w:rPr>
          <w:rFonts w:hint="eastAsia"/>
        </w:rPr>
        <w:t xml:space="preserve">　</w:t>
      </w:r>
      <w:r>
        <w:rPr>
          <w:noProof/>
        </w:rPr>
        <w:drawing>
          <wp:inline distT="0" distB="0" distL="0" distR="0">
            <wp:extent cx="4142740" cy="2465070"/>
            <wp:effectExtent l="19050" t="0" r="0" b="0"/>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142740" cy="2465070"/>
                    </a:xfrm>
                    <a:prstGeom prst="rect">
                      <a:avLst/>
                    </a:prstGeom>
                    <a:noFill/>
                    <a:ln w="9525">
                      <a:noFill/>
                      <a:miter lim="800000"/>
                      <a:headEnd/>
                      <a:tailEnd/>
                    </a:ln>
                  </pic:spPr>
                </pic:pic>
              </a:graphicData>
            </a:graphic>
          </wp:inline>
        </w:drawing>
      </w:r>
    </w:p>
    <w:p w:rsidR="00BC34F8" w:rsidRDefault="00BC34F8" w:rsidP="00BC34F8"/>
    <w:p w:rsidR="00BC34F8" w:rsidRDefault="00BC34F8" w:rsidP="00BC34F8">
      <w:pPr>
        <w:ind w:firstLineChars="100" w:firstLine="210"/>
        <w:rPr>
          <w:rFonts w:ascii="Arial" w:hAnsi="Arial" w:cs="Arial"/>
          <w:color w:val="000000"/>
          <w:szCs w:val="21"/>
        </w:rPr>
      </w:pPr>
      <w:r>
        <w:rPr>
          <w:rFonts w:ascii="Arial" w:hAnsi="Arial" w:cs="Arial" w:hint="eastAsia"/>
          <w:color w:val="000000"/>
          <w:szCs w:val="21"/>
        </w:rPr>
        <w:t>現在海水</w:t>
      </w:r>
      <w:r>
        <w:rPr>
          <w:rFonts w:ascii="Arial" w:hAnsi="Arial" w:cs="Arial"/>
          <w:color w:val="000000"/>
          <w:szCs w:val="21"/>
        </w:rPr>
        <w:t>淡水化ビジネス</w:t>
      </w:r>
      <w:r w:rsidRPr="000A7FEA">
        <w:rPr>
          <w:rFonts w:ascii="Arial" w:hAnsi="Arial" w:cs="Arial"/>
          <w:color w:val="000000"/>
          <w:szCs w:val="21"/>
        </w:rPr>
        <w:t>市場</w:t>
      </w:r>
      <w:r>
        <w:rPr>
          <w:rFonts w:ascii="Arial" w:hAnsi="Arial" w:cs="Arial"/>
          <w:color w:val="000000"/>
          <w:szCs w:val="21"/>
        </w:rPr>
        <w:t>において、日本企業の水処理膜が大きなシェアを獲得している</w:t>
      </w:r>
      <w:r>
        <w:rPr>
          <w:rFonts w:ascii="Arial" w:hAnsi="Arial" w:cs="Arial" w:hint="eastAsia"/>
          <w:color w:val="000000"/>
          <w:szCs w:val="21"/>
        </w:rPr>
        <w:t>。海水</w:t>
      </w:r>
      <w:r w:rsidRPr="000A7FEA">
        <w:rPr>
          <w:rFonts w:ascii="Arial" w:hAnsi="Arial" w:cs="Arial"/>
          <w:color w:val="000000"/>
          <w:szCs w:val="21"/>
        </w:rPr>
        <w:t>淡水化ビジネスとは、おもに中東や北アフリカなどの</w:t>
      </w:r>
      <w:r w:rsidRPr="000A7FEA">
        <w:rPr>
          <w:rFonts w:ascii="Arial" w:hAnsi="Arial" w:cs="Arial"/>
          <w:color w:val="000000"/>
          <w:szCs w:val="21"/>
        </w:rPr>
        <w:t>“</w:t>
      </w:r>
      <w:r w:rsidRPr="000A7FEA">
        <w:rPr>
          <w:rFonts w:ascii="Arial" w:hAnsi="Arial" w:cs="Arial"/>
          <w:color w:val="000000"/>
          <w:szCs w:val="21"/>
        </w:rPr>
        <w:t>水が不足しがち</w:t>
      </w:r>
      <w:r w:rsidRPr="000A7FEA">
        <w:rPr>
          <w:rFonts w:ascii="Arial" w:hAnsi="Arial" w:cs="Arial"/>
          <w:color w:val="000000"/>
          <w:szCs w:val="21"/>
        </w:rPr>
        <w:t>”</w:t>
      </w:r>
      <w:r w:rsidRPr="000A7FEA">
        <w:rPr>
          <w:rFonts w:ascii="Arial" w:hAnsi="Arial" w:cs="Arial"/>
          <w:color w:val="000000"/>
          <w:szCs w:val="21"/>
        </w:rPr>
        <w:t>な地域に向けて、海水を淡水化し、飲用水や工業用水として提供する事業のことだ。では、なぜこの</w:t>
      </w:r>
      <w:r>
        <w:rPr>
          <w:rFonts w:ascii="Arial" w:hAnsi="Arial" w:cs="Arial"/>
          <w:color w:val="000000"/>
          <w:szCs w:val="21"/>
        </w:rPr>
        <w:t>分野で日本の製品が大きなシェアを獲得することができたのだろうか</w:t>
      </w:r>
      <w:r>
        <w:rPr>
          <w:rFonts w:ascii="Arial" w:hAnsi="Arial" w:cs="Arial" w:hint="eastAsia"/>
          <w:color w:val="000000"/>
          <w:szCs w:val="21"/>
        </w:rPr>
        <w:t>。</w:t>
      </w:r>
      <w:r>
        <w:rPr>
          <w:rFonts w:ascii="Arial" w:hAnsi="Arial" w:cs="Arial"/>
          <w:color w:val="000000"/>
          <w:szCs w:val="21"/>
        </w:rPr>
        <w:t>日本企業は逆浸透法</w:t>
      </w:r>
      <w:r w:rsidRPr="000A7FEA">
        <w:rPr>
          <w:rFonts w:ascii="Arial" w:hAnsi="Arial" w:cs="Arial"/>
          <w:color w:val="000000"/>
          <w:szCs w:val="21"/>
        </w:rPr>
        <w:t>を用いた海水淡水化プラントの水処理膜において、世界シェアの７割近くを占めてい</w:t>
      </w:r>
      <w:r>
        <w:rPr>
          <w:rFonts w:ascii="Arial" w:hAnsi="Arial" w:cs="Arial" w:hint="eastAsia"/>
          <w:color w:val="000000"/>
          <w:szCs w:val="21"/>
        </w:rPr>
        <w:t>る。</w:t>
      </w:r>
      <w:r w:rsidRPr="000A7FEA">
        <w:rPr>
          <w:rFonts w:ascii="ＭＳ 明朝" w:hAnsi="ＭＳ 明朝" w:cs="Arial"/>
          <w:color w:val="000000"/>
          <w:szCs w:val="21"/>
        </w:rPr>
        <w:t>この膜を作るのが難し</w:t>
      </w:r>
      <w:r>
        <w:rPr>
          <w:rFonts w:ascii="ＭＳ 明朝" w:hAnsi="ＭＳ 明朝" w:cs="Arial"/>
          <w:color w:val="000000"/>
          <w:szCs w:val="21"/>
        </w:rPr>
        <w:t>いため、技術力に長けた日本がほかの国より一歩リードしているの</w:t>
      </w:r>
      <w:r>
        <w:rPr>
          <w:rFonts w:ascii="ＭＳ 明朝" w:hAnsi="ＭＳ 明朝" w:cs="Arial" w:hint="eastAsia"/>
          <w:color w:val="000000"/>
          <w:szCs w:val="21"/>
        </w:rPr>
        <w:t>だ。</w:t>
      </w:r>
      <w:r>
        <w:rPr>
          <w:rFonts w:ascii="Arial" w:hAnsi="Arial" w:cs="Arial"/>
          <w:color w:val="000000"/>
          <w:szCs w:val="21"/>
        </w:rPr>
        <w:t>日本企業</w:t>
      </w:r>
      <w:r>
        <w:rPr>
          <w:rFonts w:ascii="Arial" w:hAnsi="Arial" w:cs="Arial" w:hint="eastAsia"/>
          <w:color w:val="000000"/>
          <w:szCs w:val="21"/>
        </w:rPr>
        <w:t>はこの膜から</w:t>
      </w:r>
      <w:r w:rsidRPr="009300EA">
        <w:rPr>
          <w:rFonts w:ascii="Arial" w:hAnsi="Arial" w:cs="Arial"/>
          <w:color w:val="000000"/>
          <w:szCs w:val="21"/>
        </w:rPr>
        <w:t>毎日</w:t>
      </w:r>
      <w:r w:rsidRPr="009300EA">
        <w:rPr>
          <w:rFonts w:ascii="Arial" w:hAnsi="Arial" w:cs="Arial"/>
          <w:color w:val="000000"/>
          <w:szCs w:val="21"/>
        </w:rPr>
        <w:t>7</w:t>
      </w:r>
      <w:r w:rsidRPr="009300EA">
        <w:rPr>
          <w:rFonts w:ascii="Arial" w:hAnsi="Arial" w:cs="Arial"/>
          <w:color w:val="000000"/>
          <w:szCs w:val="21"/>
        </w:rPr>
        <w:t>００万トン</w:t>
      </w:r>
      <w:r>
        <w:rPr>
          <w:rFonts w:ascii="Arial" w:hAnsi="Arial" w:cs="Arial"/>
          <w:color w:val="000000"/>
          <w:szCs w:val="21"/>
        </w:rPr>
        <w:t>の淡水を生み出している。東レや東洋紡</w:t>
      </w:r>
      <w:r>
        <w:rPr>
          <w:rFonts w:ascii="Arial" w:hAnsi="Arial" w:cs="Arial" w:hint="eastAsia"/>
          <w:color w:val="000000"/>
          <w:szCs w:val="21"/>
        </w:rPr>
        <w:t>績</w:t>
      </w:r>
      <w:r>
        <w:rPr>
          <w:rFonts w:ascii="Arial" w:hAnsi="Arial" w:cs="Arial"/>
          <w:color w:val="000000"/>
          <w:szCs w:val="21"/>
        </w:rPr>
        <w:t>などの繊維・化学企業は、</w:t>
      </w:r>
      <w:r w:rsidRPr="009300EA">
        <w:rPr>
          <w:rFonts w:ascii="Arial" w:hAnsi="Arial" w:cs="Arial"/>
          <w:color w:val="000000"/>
          <w:szCs w:val="21"/>
        </w:rPr>
        <w:t>１９６０年代</w:t>
      </w:r>
      <w:r>
        <w:rPr>
          <w:rFonts w:ascii="Arial" w:hAnsi="Arial" w:cs="Arial"/>
          <w:color w:val="000000"/>
          <w:szCs w:val="21"/>
        </w:rPr>
        <w:t>から研究を行っており、ようやく今、実を結んでいるところなの</w:t>
      </w:r>
      <w:r>
        <w:rPr>
          <w:rFonts w:ascii="Arial" w:hAnsi="Arial" w:cs="Arial" w:hint="eastAsia"/>
          <w:color w:val="000000"/>
          <w:szCs w:val="21"/>
        </w:rPr>
        <w:t>だ</w:t>
      </w:r>
      <w:r w:rsidRPr="009300EA">
        <w:rPr>
          <w:rFonts w:ascii="Arial" w:hAnsi="Arial" w:cs="Arial"/>
          <w:color w:val="000000"/>
          <w:szCs w:val="21"/>
        </w:rPr>
        <w:t>。</w:t>
      </w:r>
      <w:r>
        <w:rPr>
          <w:rFonts w:ascii="Arial" w:hAnsi="Arial" w:cs="Arial"/>
          <w:color w:val="000000"/>
          <w:szCs w:val="21"/>
        </w:rPr>
        <w:t>身近なところでは、日本国内でも淡水化施設は稼働してい</w:t>
      </w:r>
      <w:r>
        <w:rPr>
          <w:rFonts w:ascii="Arial" w:hAnsi="Arial" w:cs="Arial" w:hint="eastAsia"/>
          <w:color w:val="000000"/>
          <w:szCs w:val="21"/>
        </w:rPr>
        <w:t>る</w:t>
      </w:r>
      <w:r w:rsidRPr="009300EA">
        <w:rPr>
          <w:rFonts w:ascii="Arial" w:hAnsi="Arial" w:cs="Arial"/>
          <w:color w:val="000000"/>
          <w:szCs w:val="21"/>
        </w:rPr>
        <w:t>。福岡や沖縄本島に比較的大きなプラントがあるほか、瀬戸内海にある島や沖縄の離島など、安定した水の供給が難</w:t>
      </w:r>
      <w:r>
        <w:rPr>
          <w:rFonts w:ascii="Arial" w:hAnsi="Arial" w:cs="Arial"/>
          <w:color w:val="000000"/>
          <w:szCs w:val="21"/>
        </w:rPr>
        <w:t>しい地域に、小型の淡水化プラントが設置されている</w:t>
      </w:r>
      <w:r>
        <w:rPr>
          <w:rFonts w:ascii="Arial" w:hAnsi="Arial" w:cs="Arial" w:hint="eastAsia"/>
          <w:color w:val="000000"/>
          <w:szCs w:val="21"/>
        </w:rPr>
        <w:t>。</w:t>
      </w:r>
      <w:r w:rsidRPr="009300EA">
        <w:rPr>
          <w:rFonts w:ascii="Arial" w:hAnsi="Arial" w:cs="Arial"/>
          <w:color w:val="000000"/>
          <w:szCs w:val="21"/>
        </w:rPr>
        <w:t>逆浸透法は、海水だけでなく汚水や下水の再利用にも使われている。現にシンガポールでは、下水を再び工業用水や飲</w:t>
      </w:r>
      <w:r>
        <w:rPr>
          <w:rFonts w:ascii="Arial" w:hAnsi="Arial" w:cs="Arial"/>
          <w:color w:val="000000"/>
          <w:szCs w:val="21"/>
        </w:rPr>
        <w:t>料水にする過程のなかで、この技術が大きな役割を担っているのだ</w:t>
      </w:r>
      <w:r w:rsidRPr="009300EA">
        <w:rPr>
          <w:rFonts w:ascii="Arial" w:hAnsi="Arial" w:cs="Arial"/>
          <w:color w:val="000000"/>
          <w:szCs w:val="21"/>
        </w:rPr>
        <w:t>。</w:t>
      </w:r>
    </w:p>
    <w:p w:rsidR="00BC34F8" w:rsidRDefault="00BC34F8" w:rsidP="00BC34F8">
      <w:pPr>
        <w:rPr>
          <w:rFonts w:ascii="Arial" w:hAnsi="Arial" w:cs="Arial"/>
          <w:color w:val="000000"/>
          <w:szCs w:val="21"/>
        </w:rPr>
      </w:pPr>
    </w:p>
    <w:p w:rsidR="00BC34F8" w:rsidRDefault="00BC34F8" w:rsidP="00BC34F8">
      <w:pPr>
        <w:rPr>
          <w:rFonts w:ascii="Arial" w:hAnsi="Arial" w:cs="Arial"/>
          <w:color w:val="000000"/>
          <w:szCs w:val="21"/>
        </w:rPr>
      </w:pPr>
    </w:p>
    <w:p w:rsidR="00BC34F8" w:rsidRDefault="00BC34F8" w:rsidP="00BC34F8">
      <w:pPr>
        <w:rPr>
          <w:rFonts w:ascii="ＭＳ 明朝" w:hAnsi="ＭＳ 明朝" w:cs="Arial"/>
          <w:color w:val="000000"/>
          <w:szCs w:val="21"/>
        </w:rPr>
      </w:pPr>
      <w:r>
        <w:rPr>
          <w:rFonts w:ascii="ＭＳ 明朝" w:hAnsi="ＭＳ 明朝" w:cs="Arial" w:hint="eastAsia"/>
          <w:color w:val="000000"/>
          <w:szCs w:val="21"/>
        </w:rPr>
        <w:t>②関西の現状</w:t>
      </w:r>
    </w:p>
    <w:p w:rsidR="00BC34F8" w:rsidRDefault="00BC34F8" w:rsidP="00BC34F8">
      <w:pPr>
        <w:ind w:firstLineChars="100" w:firstLine="210"/>
        <w:rPr>
          <w:rFonts w:ascii="ＭＳ 明朝" w:hAnsi="ＭＳ 明朝" w:cs="Arial"/>
          <w:color w:val="000000"/>
          <w:szCs w:val="21"/>
        </w:rPr>
      </w:pPr>
    </w:p>
    <w:p w:rsidR="00BC34F8" w:rsidRDefault="00BC34F8" w:rsidP="00BC34F8">
      <w:pPr>
        <w:ind w:firstLineChars="100" w:firstLine="210"/>
        <w:rPr>
          <w:rFonts w:ascii="ＭＳ 明朝" w:hAnsi="ＭＳ 明朝" w:cs="ＭＳ Ｐゴシック"/>
          <w:color w:val="000000"/>
          <w:kern w:val="0"/>
          <w:szCs w:val="21"/>
        </w:rPr>
      </w:pPr>
      <w:r>
        <w:rPr>
          <w:rFonts w:ascii="ＭＳ 明朝" w:hAnsi="ＭＳ 明朝" w:cs="Arial" w:hint="eastAsia"/>
          <w:color w:val="000000"/>
          <w:szCs w:val="21"/>
        </w:rPr>
        <w:t>１節で先述の東レや東洋紡績は海水淡水化市場におけるリーディングカンパニーである。東レも東洋紡績も、大阪に本社があり、関西を拠点として活動している企業だ。東レは</w:t>
      </w:r>
      <w:r w:rsidRPr="001B657A">
        <w:rPr>
          <w:szCs w:val="21"/>
        </w:rPr>
        <w:t>淡水化に使う逆浸透膜の生産会社</w:t>
      </w:r>
      <w:r>
        <w:rPr>
          <w:rFonts w:hint="eastAsia"/>
          <w:szCs w:val="21"/>
        </w:rPr>
        <w:t>で、</w:t>
      </w:r>
      <w:r w:rsidRPr="001B657A">
        <w:rPr>
          <w:rFonts w:ascii="ＭＳ 明朝" w:hAnsi="ＭＳ 明朝" w:cs="ＭＳ Ｐゴシック"/>
          <w:color w:val="000000"/>
          <w:kern w:val="0"/>
          <w:szCs w:val="21"/>
        </w:rPr>
        <w:t>逆浸透膜市場で世界シェア3位、淡水化のコストは過去10年間で半分以下に低減</w:t>
      </w:r>
      <w:r>
        <w:rPr>
          <w:rFonts w:ascii="ＭＳ 明朝" w:hAnsi="ＭＳ 明朝" w:cs="ＭＳ Ｐゴシック" w:hint="eastAsia"/>
          <w:color w:val="000000"/>
          <w:kern w:val="0"/>
          <w:szCs w:val="21"/>
        </w:rPr>
        <w:t>させた。東洋紡績は</w:t>
      </w:r>
      <w:r w:rsidRPr="001B657A">
        <w:rPr>
          <w:szCs w:val="21"/>
        </w:rPr>
        <w:t>中東で逆浸透膜の受注</w:t>
      </w:r>
      <w:r>
        <w:rPr>
          <w:rFonts w:hint="eastAsia"/>
          <w:szCs w:val="21"/>
        </w:rPr>
        <w:t>を行なっている。</w:t>
      </w:r>
      <w:r w:rsidRPr="001B657A">
        <w:rPr>
          <w:rFonts w:ascii="ＭＳ 明朝" w:hAnsi="ＭＳ 明朝" w:cs="ＭＳ Ｐゴシック"/>
          <w:color w:val="000000"/>
          <w:kern w:val="0"/>
          <w:szCs w:val="21"/>
        </w:rPr>
        <w:t>東洋紡</w:t>
      </w:r>
      <w:r>
        <w:rPr>
          <w:rFonts w:ascii="ＭＳ 明朝" w:hAnsi="ＭＳ 明朝" w:cs="ＭＳ Ｐゴシック" w:hint="eastAsia"/>
          <w:color w:val="000000"/>
          <w:kern w:val="0"/>
          <w:szCs w:val="21"/>
        </w:rPr>
        <w:t>績</w:t>
      </w:r>
      <w:r w:rsidRPr="001B657A">
        <w:rPr>
          <w:rFonts w:ascii="ＭＳ 明朝" w:hAnsi="ＭＳ 明朝" w:cs="ＭＳ Ｐゴシック"/>
          <w:color w:val="000000"/>
          <w:kern w:val="0"/>
          <w:szCs w:val="21"/>
        </w:rPr>
        <w:t>の受注額は40億円弱と報じられ</w:t>
      </w:r>
      <w:r>
        <w:rPr>
          <w:rFonts w:ascii="ＭＳ 明朝" w:hAnsi="ＭＳ 明朝" w:cs="ＭＳ Ｐゴシック" w:hint="eastAsia"/>
          <w:color w:val="000000"/>
          <w:kern w:val="0"/>
          <w:szCs w:val="21"/>
        </w:rPr>
        <w:t>てい</w:t>
      </w:r>
      <w:r w:rsidRPr="001B657A">
        <w:rPr>
          <w:rFonts w:ascii="ＭＳ 明朝" w:hAnsi="ＭＳ 明朝" w:cs="ＭＳ Ｐゴシック"/>
          <w:color w:val="000000"/>
          <w:kern w:val="0"/>
          <w:szCs w:val="21"/>
        </w:rPr>
        <w:t>る。</w:t>
      </w:r>
      <w:r>
        <w:rPr>
          <w:rFonts w:ascii="ＭＳ 明朝" w:hAnsi="ＭＳ 明朝" w:cs="ＭＳ Ｐゴシック" w:hint="eastAsia"/>
          <w:color w:val="000000"/>
          <w:kern w:val="0"/>
          <w:szCs w:val="21"/>
        </w:rPr>
        <w:t>また新たに</w:t>
      </w:r>
      <w:r w:rsidRPr="00EB69F2">
        <w:rPr>
          <w:szCs w:val="21"/>
        </w:rPr>
        <w:t>サウジアラビアのラービグ市の中東湾岸諸国最大の逆浸透膜法海水淡水化プラン</w:t>
      </w:r>
      <w:r>
        <w:rPr>
          <w:szCs w:val="21"/>
        </w:rPr>
        <w:t>ト（日量２０万５千立方メートル）にも採用されることになってい</w:t>
      </w:r>
      <w:r>
        <w:rPr>
          <w:rFonts w:hint="eastAsia"/>
          <w:szCs w:val="21"/>
        </w:rPr>
        <w:t>る。</w:t>
      </w:r>
      <w:r>
        <w:rPr>
          <w:rFonts w:ascii="ＭＳ 明朝" w:hAnsi="ＭＳ 明朝" w:cs="ＭＳ Ｐゴシック" w:hint="eastAsia"/>
          <w:color w:val="000000"/>
          <w:kern w:val="0"/>
          <w:szCs w:val="21"/>
        </w:rPr>
        <w:t>また関西には</w:t>
      </w:r>
      <w:r>
        <w:rPr>
          <w:rFonts w:ascii="ＭＳ 明朝" w:hAnsi="ＭＳ 明朝" w:cs="ＭＳ Ｐゴシック"/>
          <w:color w:val="000000"/>
          <w:kern w:val="0"/>
          <w:szCs w:val="21"/>
        </w:rPr>
        <w:t>逆浸透膜市場で、</w:t>
      </w:r>
      <w:r>
        <w:rPr>
          <w:rFonts w:ascii="ＭＳ 明朝" w:hAnsi="ＭＳ 明朝" w:cs="ＭＳ Ｐゴシック" w:hint="eastAsia"/>
          <w:color w:val="000000"/>
          <w:kern w:val="0"/>
          <w:szCs w:val="21"/>
        </w:rPr>
        <w:t>アメリカの</w:t>
      </w:r>
      <w:r w:rsidRPr="007B196A">
        <w:rPr>
          <w:rFonts w:ascii="ＭＳ 明朝" w:hAnsi="ＭＳ 明朝" w:cs="ＭＳ Ｐゴシック"/>
          <w:color w:val="000000"/>
          <w:kern w:val="0"/>
          <w:szCs w:val="21"/>
        </w:rPr>
        <w:t>ダウ・ケミカルと並んで約3割の世界シェアを有する</w:t>
      </w:r>
      <w:r>
        <w:rPr>
          <w:rFonts w:ascii="ＭＳ 明朝" w:hAnsi="ＭＳ 明朝" w:cs="ＭＳ Ｐゴシック" w:hint="eastAsia"/>
          <w:color w:val="000000"/>
          <w:kern w:val="0"/>
          <w:szCs w:val="21"/>
        </w:rPr>
        <w:t>日東電工がある。</w:t>
      </w:r>
    </w:p>
    <w:p w:rsidR="00BC34F8" w:rsidRDefault="00BC34F8" w:rsidP="00BC34F8">
      <w:pPr>
        <w:ind w:firstLineChars="100" w:firstLine="210"/>
        <w:rPr>
          <w:rFonts w:ascii="ＭＳ 明朝" w:hAnsi="ＭＳ 明朝" w:cs="ＭＳ Ｐゴシック"/>
          <w:color w:val="000000"/>
          <w:kern w:val="0"/>
          <w:szCs w:val="21"/>
        </w:rPr>
      </w:pPr>
    </w:p>
    <w:p w:rsidR="00BC34F8" w:rsidRPr="00C5661C" w:rsidRDefault="00BC34F8" w:rsidP="00BC34F8">
      <w:pPr>
        <w:ind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このように、国内だけでなく国外で活躍する企業が関西にはある。国連環境計画（UNEP）によると、世界各地の何百人もの研究者が今世紀に直面する最大の問題に水不足を挙げている。今日、海水淡水化事業は将来性のある産業であると考えられるのではないだろうか。長年の研究により開発・発展した逆浸透膜の技術を生かした関西企業のこれからに期待したい。</w:t>
      </w:r>
    </w:p>
    <w:p w:rsidR="00BC34F8" w:rsidRDefault="00BC34F8" w:rsidP="00BC34F8">
      <w:pPr>
        <w:pStyle w:val="ac"/>
      </w:pPr>
      <w:r>
        <w:rPr>
          <w:rFonts w:hint="eastAsia"/>
        </w:rPr>
        <w:t>（５）バイオエタノール</w:t>
      </w:r>
    </w:p>
    <w:p w:rsidR="00BC34F8" w:rsidRDefault="00BC34F8" w:rsidP="00BC34F8">
      <w:pPr>
        <w:pStyle w:val="ac"/>
      </w:pPr>
    </w:p>
    <w:p w:rsidR="00BC34F8" w:rsidRDefault="00BC34F8" w:rsidP="00BC34F8">
      <w:pPr>
        <w:pStyle w:val="ac"/>
      </w:pPr>
      <w:r>
        <w:rPr>
          <w:rFonts w:hint="eastAsia"/>
        </w:rPr>
        <w:t>①</w:t>
      </w:r>
      <w:r w:rsidRPr="001E5B13">
        <w:rPr>
          <w:rFonts w:hint="eastAsia"/>
        </w:rPr>
        <w:t>現状分析</w:t>
      </w:r>
    </w:p>
    <w:p w:rsidR="00BC34F8" w:rsidRPr="001E5B13" w:rsidRDefault="00BC34F8" w:rsidP="00BC34F8">
      <w:pPr>
        <w:pStyle w:val="ac"/>
      </w:pP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sz w:val="21"/>
          <w:szCs w:val="21"/>
        </w:rPr>
        <w:t>現在私たちの</w:t>
      </w:r>
      <w:r w:rsidRPr="001E5B13">
        <w:rPr>
          <w:rFonts w:asciiTheme="minorEastAsia" w:eastAsiaTheme="minorEastAsia" w:hAnsiTheme="minorEastAsia" w:hint="eastAsia"/>
          <w:sz w:val="21"/>
          <w:szCs w:val="21"/>
        </w:rPr>
        <w:t>生活は</w:t>
      </w:r>
      <w:r w:rsidRPr="001E5B13">
        <w:rPr>
          <w:rFonts w:asciiTheme="minorEastAsia" w:eastAsiaTheme="minorEastAsia" w:hAnsiTheme="minorEastAsia"/>
          <w:sz w:val="21"/>
          <w:szCs w:val="21"/>
        </w:rPr>
        <w:t>身の回り</w:t>
      </w:r>
      <w:r w:rsidRPr="001E5B13">
        <w:rPr>
          <w:rFonts w:asciiTheme="minorEastAsia" w:eastAsiaTheme="minorEastAsia" w:hAnsiTheme="minorEastAsia" w:hint="eastAsia"/>
          <w:sz w:val="21"/>
          <w:szCs w:val="21"/>
        </w:rPr>
        <w:t>のエネルギーの多くは、化石燃料に支えられている。これらの化石燃料は有限のエネルギー源であり決して永遠に手に入るものではない。しかし、我々が</w:t>
      </w:r>
      <w:r w:rsidRPr="001E5B13">
        <w:rPr>
          <w:rFonts w:asciiTheme="minorEastAsia" w:eastAsiaTheme="minorEastAsia" w:hAnsiTheme="minorEastAsia"/>
          <w:sz w:val="21"/>
          <w:szCs w:val="21"/>
        </w:rPr>
        <w:t>消費するエネルギー量は増加の途をたどり、さらに増え続けると予想されてい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r w:rsidRPr="001E5B13">
        <w:rPr>
          <w:rFonts w:asciiTheme="minorEastAsia" w:eastAsiaTheme="minorEastAsia" w:hAnsiTheme="minorEastAsia" w:hint="eastAsia"/>
          <w:sz w:val="21"/>
          <w:szCs w:val="21"/>
        </w:rPr>
        <w:t>そして、</w:t>
      </w:r>
      <w:r w:rsidRPr="001E5B13">
        <w:rPr>
          <w:rFonts w:asciiTheme="minorEastAsia" w:eastAsiaTheme="minorEastAsia" w:hAnsiTheme="minorEastAsia"/>
          <w:sz w:val="21"/>
          <w:szCs w:val="21"/>
        </w:rPr>
        <w:t>石油は約41年、天然ガスは約67年、比較的量の多い石炭でもあと約164年しかもたないと予測されてい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hint="eastAsia"/>
          <w:sz w:val="21"/>
          <w:szCs w:val="21"/>
        </w:rPr>
        <w:t>そういった背景をもとに最近注目されているのが新エネルギーである。特にバイオエタノールは二酸化炭素量を増やさないという環境問題の視点から新たな燃料のエネルギーとして注目を浴びている新エネルギーである。バイオエタノールは、バイオマスの資源を発酵させて蒸留させることによって作ることができる植物性のエチルアルコールのことである。バイオエタノールは、二酸化炭素の排出量を削減できるということで、注目を浴びているのである。産量は世界中で年々増え続け、世界における生産量は７年で１．６倍になり、さらに「再生可能燃料」としてますます期待されている。</w:t>
      </w:r>
    </w:p>
    <w:p w:rsidR="00BC34F8" w:rsidRPr="001E5B13" w:rsidRDefault="00BC34F8" w:rsidP="00BC34F8">
      <w:pPr>
        <w:pStyle w:val="Web"/>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②関西現状</w:t>
      </w:r>
    </w:p>
    <w:p w:rsidR="00BC34F8" w:rsidRPr="001E5B13" w:rsidRDefault="00BC34F8" w:rsidP="00BC34F8">
      <w:pPr>
        <w:ind w:firstLineChars="100" w:firstLine="210"/>
        <w:jc w:val="left"/>
        <w:rPr>
          <w:rFonts w:asciiTheme="minorEastAsia" w:hAnsiTheme="minorEastAsia" w:cs="ＭＳ Ｐゴシック"/>
          <w:kern w:val="0"/>
          <w:szCs w:val="21"/>
        </w:rPr>
      </w:pPr>
      <w:r w:rsidRPr="001E5B13">
        <w:rPr>
          <w:rFonts w:asciiTheme="minorEastAsia" w:hAnsiTheme="minorEastAsia" w:cs="ＭＳ Ｐゴシック"/>
          <w:kern w:val="0"/>
          <w:szCs w:val="21"/>
        </w:rPr>
        <w:t>大成建設大栄環境丸紅サッポロビール東京ボード工業</w:t>
      </w:r>
      <w:r w:rsidRPr="001E5B13">
        <w:rPr>
          <w:rFonts w:asciiTheme="minorEastAsia" w:hAnsiTheme="minorEastAsia" w:cs="ＭＳ Ｐゴシック" w:hint="eastAsia"/>
          <w:kern w:val="0"/>
          <w:szCs w:val="21"/>
        </w:rPr>
        <w:t>の出資により新しく生まれた</w:t>
      </w:r>
      <w:r w:rsidRPr="001E5B13">
        <w:rPr>
          <w:rFonts w:asciiTheme="minorEastAsia" w:hAnsiTheme="minorEastAsia"/>
          <w:szCs w:val="21"/>
        </w:rPr>
        <w:t>バイオエタノール・ジャパン・関西（大阪市）は16日、廃木材を主原料とするバイオエタノール製造施設の本格的な稼動を開始した。同施設では従来、エタノールの製造が難しいとされてきた木材系バイオマスを主原料とし、米国から導入した新技術を用いることで世界初となるエタノール製造を可能にした。新技術は木材の発酵に特殊な微生物を使い、4万－5万トンの廃木材から年間1400キロリットルのバイオエタノールを製造、燃料用エタノールとして販売。今後、数年内に設備増強、新規技術の導入により年間製造量を4000キロリットルまで引き上げる予定</w:t>
      </w:r>
      <w:r w:rsidRPr="001E5B13">
        <w:rPr>
          <w:rFonts w:asciiTheme="minorEastAsia" w:hAnsiTheme="minorEastAsia" w:hint="eastAsia"/>
          <w:szCs w:val="21"/>
        </w:rPr>
        <w:t>で</w:t>
      </w:r>
      <w:commentRangeStart w:id="4"/>
      <w:r w:rsidRPr="001E5B13">
        <w:rPr>
          <w:rFonts w:asciiTheme="minorEastAsia" w:hAnsiTheme="minorEastAsia" w:hint="eastAsia"/>
          <w:szCs w:val="21"/>
        </w:rPr>
        <w:t>あ</w:t>
      </w:r>
      <w:r>
        <w:rPr>
          <w:rFonts w:asciiTheme="minorEastAsia" w:hAnsiTheme="minorEastAsia" w:hint="eastAsia"/>
          <w:szCs w:val="21"/>
        </w:rPr>
        <w:t>る</w:t>
      </w:r>
      <w:commentRangeEnd w:id="4"/>
      <w:r w:rsidR="000E089D">
        <w:rPr>
          <w:rStyle w:val="af"/>
        </w:rPr>
        <w:commentReference w:id="4"/>
      </w:r>
      <w:r>
        <w:rPr>
          <w:rFonts w:asciiTheme="minorEastAsia" w:hAnsiTheme="minorEastAsia" w:hint="eastAsia"/>
          <w:szCs w:val="21"/>
        </w:rPr>
        <w:t>。</w:t>
      </w:r>
    </w:p>
    <w:p w:rsidR="009D6BF5" w:rsidRPr="00BC34F8" w:rsidRDefault="009D6BF5" w:rsidP="00573AF0">
      <w:pPr>
        <w:pStyle w:val="ac"/>
        <w:rPr>
          <w:kern w:val="0"/>
          <w:szCs w:val="21"/>
        </w:rPr>
      </w:pPr>
    </w:p>
    <w:p w:rsidR="009D6BF5" w:rsidRPr="00573AF0" w:rsidRDefault="001B4F90" w:rsidP="00573AF0">
      <w:pPr>
        <w:pStyle w:val="ac"/>
        <w:rPr>
          <w:b/>
          <w:kern w:val="0"/>
          <w:szCs w:val="21"/>
        </w:rPr>
      </w:pPr>
      <w:r>
        <w:rPr>
          <w:rFonts w:hint="eastAsia"/>
          <w:b/>
          <w:kern w:val="0"/>
          <w:szCs w:val="21"/>
        </w:rPr>
        <w:t>５）第</w:t>
      </w:r>
      <w:r>
        <w:rPr>
          <w:rFonts w:hint="eastAsia"/>
          <w:b/>
          <w:kern w:val="0"/>
          <w:szCs w:val="21"/>
        </w:rPr>
        <w:t>2</w:t>
      </w:r>
      <w:r>
        <w:rPr>
          <w:rFonts w:hint="eastAsia"/>
          <w:b/>
          <w:kern w:val="0"/>
          <w:szCs w:val="21"/>
        </w:rPr>
        <w:t>節</w:t>
      </w:r>
      <w:r w:rsidR="009D6BF5" w:rsidRPr="00573AF0">
        <w:rPr>
          <w:rFonts w:hint="eastAsia"/>
          <w:b/>
          <w:kern w:val="0"/>
          <w:szCs w:val="21"/>
        </w:rPr>
        <w:t>まとめ</w:t>
      </w:r>
    </w:p>
    <w:p w:rsidR="009D6BF5" w:rsidRPr="00573AF0" w:rsidRDefault="009D6BF5" w:rsidP="00573AF0">
      <w:pPr>
        <w:pStyle w:val="ac"/>
        <w:rPr>
          <w:kern w:val="0"/>
          <w:szCs w:val="21"/>
        </w:rPr>
      </w:pPr>
      <w:r w:rsidRPr="00573AF0">
        <w:rPr>
          <w:kern w:val="0"/>
        </w:rPr>
        <w:br/>
      </w:r>
      <w:r w:rsidRPr="00573AF0">
        <w:rPr>
          <w:kern w:val="0"/>
          <w:szCs w:val="21"/>
        </w:rPr>
        <w:t> </w:t>
      </w:r>
      <w:r w:rsidR="00573AF0">
        <w:rPr>
          <w:rFonts w:hint="eastAsia"/>
          <w:kern w:val="0"/>
          <w:szCs w:val="21"/>
        </w:rPr>
        <w:t xml:space="preserve">　</w:t>
      </w:r>
      <w:r w:rsidRPr="00573AF0">
        <w:rPr>
          <w:kern w:val="0"/>
          <w:szCs w:val="21"/>
        </w:rPr>
        <w:t>まず、関西地方における製造業企業の数の多さに着目してみよう。製造業の特化係数が</w:t>
      </w:r>
      <w:r w:rsidRPr="00573AF0">
        <w:rPr>
          <w:kern w:val="0"/>
          <w:szCs w:val="21"/>
        </w:rPr>
        <w:t>1.5</w:t>
      </w:r>
      <w:r w:rsidRPr="00573AF0">
        <w:rPr>
          <w:kern w:val="0"/>
          <w:szCs w:val="21"/>
        </w:rPr>
        <w:t>を超えている中部地方よりも多いその割合は、つまりは関西における製造業の豊富さを示している。</w:t>
      </w:r>
      <w:r w:rsidRPr="00573AF0">
        <w:rPr>
          <w:rFonts w:hint="eastAsia"/>
          <w:kern w:val="0"/>
          <w:szCs w:val="21"/>
        </w:rPr>
        <w:t>2</w:t>
      </w:r>
      <w:r w:rsidRPr="00573AF0">
        <w:rPr>
          <w:kern w:val="0"/>
          <w:szCs w:val="21"/>
        </w:rPr>
        <w:t>でのべたように、企業数の豊富さは中小企業の割合の高さを示し、その安定性の脆弱さを示しているように思えるかもしれないが、むしろいろいろなニーズに対応できるベースを持っていると解釈する。国内においてはそのニーズも限定され、それほど柔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こういった対外の観点において、関西は非常に優れているといえる。まず、水運における大阪港の存在、そして空運における関西国際空港の存在である。両方とも日本国内において、輸出・輸入の重要拠点である。そして、何よりも関東に比べて中国に近いという利点を備えている。空港の機能においても、関東の成田空港はアメリカや</w:t>
      </w:r>
      <w:r w:rsidRPr="00573AF0">
        <w:rPr>
          <w:kern w:val="0"/>
          <w:szCs w:val="21"/>
        </w:rPr>
        <w:t>EU</w:t>
      </w:r>
      <w:r w:rsidRPr="00573AF0">
        <w:rPr>
          <w:kern w:val="0"/>
          <w:szCs w:val="21"/>
        </w:rPr>
        <w:t>への結びつき、関空はアジア圏、特に中国への結びつきが強いという住み分けが存在している。これを裏付けするのが、関西における対アジア圏の貿易規模のデータである。</w:t>
      </w:r>
      <w:r w:rsidRPr="00573AF0">
        <w:rPr>
          <w:kern w:val="0"/>
          <w:szCs w:val="21"/>
        </w:rPr>
        <w:t>2007</w:t>
      </w:r>
      <w:r w:rsidRPr="00573AF0">
        <w:rPr>
          <w:kern w:val="0"/>
          <w:szCs w:val="21"/>
        </w:rPr>
        <w:t>年</w:t>
      </w:r>
      <w:r w:rsidRPr="00573AF0">
        <w:rPr>
          <w:kern w:val="0"/>
          <w:szCs w:val="21"/>
        </w:rPr>
        <w:t>5</w:t>
      </w:r>
      <w:r w:rsidRPr="00573AF0">
        <w:rPr>
          <w:kern w:val="0"/>
          <w:szCs w:val="21"/>
        </w:rPr>
        <w:t>月</w:t>
      </w:r>
      <w:r w:rsidRPr="00573AF0">
        <w:rPr>
          <w:kern w:val="0"/>
          <w:szCs w:val="21"/>
        </w:rPr>
        <w:t>10</w:t>
      </w:r>
      <w:r w:rsidRPr="00573AF0">
        <w:rPr>
          <w:kern w:val="0"/>
          <w:szCs w:val="21"/>
        </w:rPr>
        <w:t>日の産経新聞で、関西地方におけるアジアへの貿易額の多さが取り上げられていた。平成</w:t>
      </w:r>
      <w:r w:rsidRPr="00573AF0">
        <w:rPr>
          <w:kern w:val="0"/>
          <w:szCs w:val="21"/>
        </w:rPr>
        <w:t>18</w:t>
      </w:r>
      <w:r w:rsidRPr="00573AF0">
        <w:rPr>
          <w:kern w:val="0"/>
          <w:szCs w:val="21"/>
        </w:rPr>
        <w:t>年度において、全国の貿易額の</w:t>
      </w:r>
      <w:r w:rsidRPr="00573AF0">
        <w:rPr>
          <w:kern w:val="0"/>
          <w:szCs w:val="21"/>
        </w:rPr>
        <w:t>20</w:t>
      </w:r>
      <w:r w:rsidRPr="00573AF0">
        <w:rPr>
          <w:kern w:val="0"/>
          <w:szCs w:val="21"/>
        </w:rPr>
        <w:t>％強を占める関西の対アジア貿易比率はほぼ６０％であり、全国でみた</w:t>
      </w:r>
      <w:r w:rsidRPr="00573AF0">
        <w:rPr>
          <w:kern w:val="0"/>
          <w:szCs w:val="21"/>
        </w:rPr>
        <w:t>47.5</w:t>
      </w:r>
      <w:r w:rsidRPr="00573AF0">
        <w:rPr>
          <w:kern w:val="0"/>
          <w:szCs w:val="21"/>
        </w:rPr>
        <w:t>％よりも高いことがわかる。内容は家電や一般機械などの製造業が多い。このことからまだまだ需要拡大するアジアを重要視した場合、関西の産業は有利な位置にあるといえる。これが</w:t>
      </w:r>
      <w:r w:rsidRPr="00573AF0">
        <w:rPr>
          <w:kern w:val="0"/>
          <w:szCs w:val="21"/>
        </w:rPr>
        <w:t>1</w:t>
      </w:r>
      <w:r w:rsidRPr="00573AF0">
        <w:rPr>
          <w:kern w:val="0"/>
          <w:szCs w:val="21"/>
        </w:rPr>
        <w:t>つ目の強みであり、希望である。</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もう１つの強みは、関西が日本のほぼ中心に位置しているという土地的条件の良さである。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任天堂や松下電器、シャープなど、一般家庭向けの製造業、また国際的な企業競争力ランキングで上位に位置する、関西電力や武田薬品は過去の土地的な有利さで関西に集結し、そしてこういった優良企業は持続的な成長を続けるため、下請け企業などの安定をもたらすと考えられる。そして</w:t>
      </w:r>
      <w:r w:rsidRPr="00573AF0">
        <w:rPr>
          <w:rFonts w:hint="eastAsia"/>
          <w:kern w:val="0"/>
          <w:szCs w:val="21"/>
        </w:rPr>
        <w:t>4</w:t>
      </w:r>
      <w:r w:rsidRPr="00573AF0">
        <w:rPr>
          <w:kern w:val="0"/>
          <w:szCs w:val="21"/>
        </w:rPr>
        <w:t>でのべたように、関西には太陽光発電などの先端技術を駆使した、企業と都市ぐるみの一大プロジェクトが実行されていたり、それ以外でも他地方に負けないような先進技術を採用した産業分野が多くみられる。</w:t>
      </w:r>
      <w:r w:rsidRPr="00573AF0">
        <w:rPr>
          <w:kern w:val="0"/>
          <w:szCs w:val="21"/>
        </w:rPr>
        <w:br/>
      </w:r>
      <w:r w:rsidRPr="00573AF0">
        <w:rPr>
          <w:kern w:val="0"/>
          <w:szCs w:val="21"/>
        </w:rPr>
        <w:br/>
      </w:r>
      <w:r w:rsidRPr="00573AF0">
        <w:rPr>
          <w:kern w:val="0"/>
          <w:szCs w:val="21"/>
        </w:rPr>
        <w:t xml:space="preserve">　また環境関連産業において関西企業は突出した強みを持っている。先に述べたような太陽光発電における関西企業の強みに代表されるように、環境産業に関しては技術力、生産能力ともに世界のリーディングカンパニーとしての地位を確かなものとしている。このことは環境融資における全国に対する関西の投融資額の割合からも見て取る事が出来る。日本政策投資銀行の環境格付けを利用した融資で、関西は</w:t>
      </w:r>
      <w:r w:rsidRPr="00573AF0">
        <w:rPr>
          <w:kern w:val="0"/>
          <w:szCs w:val="21"/>
        </w:rPr>
        <w:t>2008</w:t>
      </w:r>
      <w:r w:rsidRPr="00573AF0">
        <w:rPr>
          <w:kern w:val="0"/>
          <w:szCs w:val="21"/>
        </w:rPr>
        <w:t>年度分で</w:t>
      </w:r>
      <w:r w:rsidRPr="00573AF0">
        <w:rPr>
          <w:kern w:val="0"/>
          <w:szCs w:val="21"/>
        </w:rPr>
        <w:t>300</w:t>
      </w:r>
      <w:r w:rsidRPr="00573AF0">
        <w:rPr>
          <w:kern w:val="0"/>
          <w:szCs w:val="21"/>
        </w:rPr>
        <w:t>億円を超え、これは全投資額の</w:t>
      </w:r>
      <w:r w:rsidRPr="00573AF0">
        <w:rPr>
          <w:kern w:val="0"/>
          <w:szCs w:val="21"/>
        </w:rPr>
        <w:t>95%</w:t>
      </w:r>
      <w:r w:rsidRPr="00573AF0">
        <w:rPr>
          <w:kern w:val="0"/>
          <w:szCs w:val="21"/>
        </w:rPr>
        <w:t>を占めている。このように環境関連産業への投資は、民間大手銀行でも始まっており、三井住友銀行の環境配慮企業向けローンや、三菱東京</w:t>
      </w:r>
      <w:r w:rsidRPr="00573AF0">
        <w:rPr>
          <w:kern w:val="0"/>
          <w:szCs w:val="21"/>
        </w:rPr>
        <w:t>UFJ</w:t>
      </w:r>
      <w:r w:rsidRPr="00573AF0">
        <w:rPr>
          <w:kern w:val="0"/>
          <w:szCs w:val="21"/>
        </w:rPr>
        <w:t>銀行のエコ認証サポートローン等、銀行側も積極的に環境関連企業への投資を増やしており、関西への環境融資は</w:t>
      </w:r>
      <w:r w:rsidRPr="00573AF0">
        <w:rPr>
          <w:kern w:val="0"/>
          <w:szCs w:val="21"/>
        </w:rPr>
        <w:t>40</w:t>
      </w:r>
      <w:r w:rsidRPr="00573AF0">
        <w:rPr>
          <w:kern w:val="0"/>
          <w:szCs w:val="21"/>
        </w:rPr>
        <w:t>％〜</w:t>
      </w:r>
      <w:r w:rsidRPr="00573AF0">
        <w:rPr>
          <w:kern w:val="0"/>
          <w:szCs w:val="21"/>
        </w:rPr>
        <w:t>70</w:t>
      </w:r>
      <w:r w:rsidRPr="00573AF0">
        <w:rPr>
          <w:kern w:val="0"/>
          <w:szCs w:val="21"/>
        </w:rPr>
        <w:t>％超となっており、関西への投資額が突出している。このような動きは関西圏での環境関連産業への更なる設備投資や新規事業への後押しとなり、環境産業の更なる集積と発展が見込まれる。しかしながらこのような状況にも関わらず、関西における企業の倒産件数は已然全国平均に比べ高いという現状が存在する。</w:t>
      </w:r>
      <w:r w:rsidRPr="00573AF0">
        <w:rPr>
          <w:kern w:val="0"/>
          <w:szCs w:val="21"/>
        </w:rPr>
        <w:br/>
      </w:r>
      <w:r w:rsidRPr="00573AF0">
        <w:rPr>
          <w:kern w:val="0"/>
          <w:szCs w:val="21"/>
        </w:rPr>
        <w:br/>
      </w:r>
      <w:r w:rsidRPr="00573AF0">
        <w:rPr>
          <w:kern w:val="0"/>
          <w:szCs w:val="21"/>
        </w:rPr>
        <w:t>以上第２節を通し主要産業別にみる関西の特色を考察してきたが、関西産業における「強み」の少なさ、また已然規模の小さいことがその衰退を招いていることがわかった。これを改善するためにはより強力な「強み」、すなわち「特化」するものを見つける必要がある。その解決方法として公共政策があるが、現在のそれを第</w:t>
      </w:r>
      <w:r w:rsidRPr="00573AF0">
        <w:rPr>
          <w:kern w:val="0"/>
          <w:szCs w:val="21"/>
        </w:rPr>
        <w:t>3</w:t>
      </w:r>
      <w:r w:rsidRPr="00573AF0">
        <w:rPr>
          <w:kern w:val="0"/>
          <w:szCs w:val="21"/>
        </w:rPr>
        <w:t>節で検証したいと思う。</w:t>
      </w:r>
    </w:p>
    <w:p w:rsidR="002C588D" w:rsidRPr="00573AF0" w:rsidRDefault="002C588D" w:rsidP="0053622B">
      <w:pPr>
        <w:pStyle w:val="ac"/>
        <w:rPr>
          <w:rFonts w:asciiTheme="minorEastAsia" w:hAnsiTheme="minorEastAsia"/>
          <w:szCs w:val="21"/>
        </w:rPr>
      </w:pPr>
    </w:p>
    <w:sectPr w:rsidR="002C588D" w:rsidRPr="00573AF0" w:rsidSect="009D6BF5">
      <w:footerReference w:type="default" r:id="rId25"/>
      <w:pgSz w:w="11906" w:h="16838"/>
      <w:pgMar w:top="1985" w:right="1701" w:bottom="1701" w:left="1701" w:header="851" w:footer="992" w:gutter="0"/>
      <w:cols w:space="425"/>
      <w:docGrid w:type="lines"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京　尚男" w:date="2009-01-09T04:23:00Z" w:initials="京">
    <w:p w:rsidR="00EC5F0C" w:rsidRDefault="00EC5F0C">
      <w:pPr>
        <w:pStyle w:val="af0"/>
      </w:pPr>
      <w:r>
        <w:rPr>
          <w:rStyle w:val="af"/>
        </w:rPr>
        <w:annotationRef/>
      </w:r>
      <w:r>
        <w:rPr>
          <w:rFonts w:hint="eastAsia"/>
        </w:rPr>
        <w:t>微妙さ</w:t>
      </w:r>
      <w:r>
        <w:rPr>
          <w:rFonts w:hint="eastAsia"/>
        </w:rPr>
        <w:t>Max</w:t>
      </w:r>
    </w:p>
  </w:comment>
  <w:comment w:id="1" w:author="京　尚男" w:date="2009-01-09T04:13:00Z" w:initials="京">
    <w:p w:rsidR="000E089D" w:rsidRDefault="000E089D">
      <w:pPr>
        <w:pStyle w:val="af0"/>
      </w:pPr>
      <w:r>
        <w:rPr>
          <w:rStyle w:val="af"/>
        </w:rPr>
        <w:annotationRef/>
      </w:r>
      <w:r>
        <w:rPr>
          <w:rFonts w:hint="eastAsia"/>
        </w:rPr>
        <w:t>出所がない</w:t>
      </w:r>
    </w:p>
  </w:comment>
  <w:comment w:id="2" w:author="京　尚男" w:date="2009-01-09T04:14:00Z" w:initials="京">
    <w:p w:rsidR="000E089D" w:rsidRDefault="000E089D">
      <w:pPr>
        <w:pStyle w:val="af0"/>
      </w:pPr>
      <w:r>
        <w:rPr>
          <w:rStyle w:val="af"/>
        </w:rPr>
        <w:annotationRef/>
      </w:r>
      <w:r>
        <w:rPr>
          <w:rFonts w:hint="eastAsia"/>
        </w:rPr>
        <w:t>出所がない</w:t>
      </w:r>
    </w:p>
  </w:comment>
  <w:comment w:id="3" w:author="京　尚男" w:date="2009-01-09T05:23:00Z" w:initials="京">
    <w:p w:rsidR="00EF28B8" w:rsidRDefault="00EF28B8">
      <w:pPr>
        <w:pStyle w:val="af0"/>
      </w:pPr>
      <w:r>
        <w:rPr>
          <w:rStyle w:val="af"/>
        </w:rPr>
        <w:annotationRef/>
      </w:r>
      <w:r>
        <w:rPr>
          <w:rFonts w:hint="eastAsia"/>
        </w:rPr>
        <w:t>ここのグラフいるか？</w:t>
      </w:r>
    </w:p>
  </w:comment>
  <w:comment w:id="4" w:author="京　尚男" w:date="2009-01-09T04:16:00Z" w:initials="京">
    <w:p w:rsidR="000E089D" w:rsidRDefault="000E089D">
      <w:pPr>
        <w:pStyle w:val="af0"/>
      </w:pPr>
      <w:r>
        <w:rPr>
          <w:rStyle w:val="af"/>
        </w:rPr>
        <w:annotationRef/>
      </w:r>
      <w:r>
        <w:rPr>
          <w:rFonts w:hint="eastAsia"/>
        </w:rPr>
        <w:t>（</w:t>
      </w:r>
      <w:r>
        <w:rPr>
          <w:rFonts w:hint="eastAsia"/>
        </w:rPr>
        <w:t>６）に来る、リチウム電池の改訂版がまだ。</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87154" w:rsidRDefault="00587154" w:rsidP="009306E4">
      <w:r>
        <w:separator/>
      </w:r>
    </w:p>
  </w:endnote>
  <w:endnote w:type="continuationSeparator" w:id="1">
    <w:p w:rsidR="00587154" w:rsidRDefault="00587154" w:rsidP="00930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9049790"/>
      <w:docPartObj>
        <w:docPartGallery w:val="Page Numbers (Bottom of Page)"/>
        <w:docPartUnique/>
      </w:docPartObj>
    </w:sdtPr>
    <w:sdtContent>
      <w:p w:rsidR="0087592B" w:rsidRDefault="00383494" w:rsidP="009D6BF5">
        <w:pPr>
          <w:pStyle w:val="a5"/>
          <w:jc w:val="center"/>
        </w:pPr>
        <w:fldSimple w:instr=" PAGE   \* MERGEFORMAT ">
          <w:r w:rsidR="00921947" w:rsidRPr="00921947">
            <w:rPr>
              <w:noProof/>
              <w:lang w:val="ja-JP"/>
            </w:rPr>
            <w:t>10</w:t>
          </w:r>
        </w:fldSimple>
      </w:p>
    </w:sdtContent>
  </w:sdt>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87154" w:rsidRDefault="00587154" w:rsidP="009306E4">
      <w:r>
        <w:separator/>
      </w:r>
    </w:p>
  </w:footnote>
  <w:footnote w:type="continuationSeparator" w:id="1">
    <w:p w:rsidR="00587154" w:rsidRDefault="00587154" w:rsidP="009306E4">
      <w:r>
        <w:continuationSeparator/>
      </w:r>
    </w:p>
  </w:footnote>
  <w:footnote w:id="2">
    <w:p w:rsidR="0087592B" w:rsidRPr="007414D7" w:rsidRDefault="0087592B" w:rsidP="009D6BF5">
      <w:pPr>
        <w:pStyle w:val="a7"/>
        <w:rPr>
          <w:sz w:val="20"/>
          <w:szCs w:val="20"/>
        </w:rPr>
      </w:pPr>
      <w:r>
        <w:rPr>
          <w:rStyle w:val="a9"/>
        </w:rPr>
        <w:footnoteRef/>
      </w:r>
      <w:r w:rsidRPr="007414D7">
        <w:rPr>
          <w:sz w:val="20"/>
          <w:szCs w:val="20"/>
        </w:rPr>
        <w:t xml:space="preserve"> </w:t>
      </w:r>
      <w:r w:rsidRPr="007414D7">
        <w:rPr>
          <w:rFonts w:hint="eastAsia"/>
          <w:sz w:val="20"/>
          <w:szCs w:val="20"/>
        </w:rPr>
        <w:t>寺岡寛著　『中小企業の政策学』から</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857400"/>
    <w:multiLevelType w:val="hybridMultilevel"/>
    <w:tmpl w:val="88FA7930"/>
    <w:lvl w:ilvl="0" w:tplc="3F9E23C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BF6520"/>
    <w:multiLevelType w:val="hybridMultilevel"/>
    <w:tmpl w:val="6C80D7BA"/>
    <w:lvl w:ilvl="0" w:tplc="2910B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8D407F"/>
    <w:multiLevelType w:val="hybridMultilevel"/>
    <w:tmpl w:val="2F1CC250"/>
    <w:lvl w:ilvl="0" w:tplc="37120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stylePaneFormatFilter w:val="3701"/>
  <w:doNotTrackMoves/>
  <w:defaultTabStop w:val="840"/>
  <w:displayHorizontalDrawingGridEvery w:val="0"/>
  <w:displayVerticalDrawingGridEvery w:val="2"/>
  <w:characterSpacingControl w:val="compressPunctuation"/>
  <w:hdrShapeDefaults>
    <o:shapedefaults v:ext="edit" spidmax="206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6E4"/>
    <w:rsid w:val="00023A3D"/>
    <w:rsid w:val="000D0DBF"/>
    <w:rsid w:val="000E089D"/>
    <w:rsid w:val="00115C17"/>
    <w:rsid w:val="00135CD4"/>
    <w:rsid w:val="001B4F90"/>
    <w:rsid w:val="002300AA"/>
    <w:rsid w:val="002C588D"/>
    <w:rsid w:val="00320615"/>
    <w:rsid w:val="00340F19"/>
    <w:rsid w:val="00345170"/>
    <w:rsid w:val="0034681E"/>
    <w:rsid w:val="00383494"/>
    <w:rsid w:val="00502767"/>
    <w:rsid w:val="0053622B"/>
    <w:rsid w:val="00573AF0"/>
    <w:rsid w:val="00587154"/>
    <w:rsid w:val="005D52CD"/>
    <w:rsid w:val="0087592B"/>
    <w:rsid w:val="00894D15"/>
    <w:rsid w:val="008F030D"/>
    <w:rsid w:val="00921947"/>
    <w:rsid w:val="009306E4"/>
    <w:rsid w:val="009D6BF5"/>
    <w:rsid w:val="009E1515"/>
    <w:rsid w:val="00A51021"/>
    <w:rsid w:val="00B25ECE"/>
    <w:rsid w:val="00BC34F8"/>
    <w:rsid w:val="00BE78A0"/>
    <w:rsid w:val="00C23212"/>
    <w:rsid w:val="00E12E42"/>
    <w:rsid w:val="00E5368C"/>
    <w:rsid w:val="00EC5F0C"/>
    <w:rsid w:val="00EE40C6"/>
    <w:rsid w:val="00EF28B8"/>
    <w:rsid w:val="00F17B16"/>
    <w:rsid w:val="00F368A6"/>
    <w:rsid w:val="00F8739F"/>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lsdException w:name="Colorful Grid Accent 1" w:uiPriority="73"/>
  </w:latentStyles>
  <w:style w:type="paragraph" w:default="1" w:styleId="a">
    <w:name w:val="Normal"/>
    <w:qFormat/>
    <w:rsid w:val="00BC34F8"/>
    <w:pPr>
      <w:widowControl w:val="0"/>
      <w:jc w:val="both"/>
    </w:pPr>
    <w:rPr>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9306E4"/>
    <w:pPr>
      <w:tabs>
        <w:tab w:val="center" w:pos="4252"/>
        <w:tab w:val="right" w:pos="8504"/>
      </w:tabs>
      <w:snapToGrid w:val="0"/>
    </w:pPr>
  </w:style>
  <w:style w:type="character" w:customStyle="1" w:styleId="a4">
    <w:name w:val="ヘッダー (文字)"/>
    <w:basedOn w:val="a0"/>
    <w:link w:val="a3"/>
    <w:rsid w:val="009306E4"/>
    <w:rPr>
      <w:kern w:val="2"/>
      <w:sz w:val="21"/>
      <w:szCs w:val="24"/>
    </w:rPr>
  </w:style>
  <w:style w:type="paragraph" w:styleId="a5">
    <w:name w:val="footer"/>
    <w:basedOn w:val="a"/>
    <w:link w:val="a6"/>
    <w:uiPriority w:val="99"/>
    <w:rsid w:val="009306E4"/>
    <w:pPr>
      <w:tabs>
        <w:tab w:val="center" w:pos="4252"/>
        <w:tab w:val="right" w:pos="8504"/>
      </w:tabs>
      <w:snapToGrid w:val="0"/>
    </w:pPr>
  </w:style>
  <w:style w:type="character" w:customStyle="1" w:styleId="a6">
    <w:name w:val="フッター (文字)"/>
    <w:basedOn w:val="a0"/>
    <w:link w:val="a5"/>
    <w:uiPriority w:val="99"/>
    <w:rsid w:val="009306E4"/>
    <w:rPr>
      <w:kern w:val="2"/>
      <w:sz w:val="21"/>
      <w:szCs w:val="24"/>
    </w:rPr>
  </w:style>
  <w:style w:type="paragraph" w:styleId="a7">
    <w:name w:val="footnote text"/>
    <w:basedOn w:val="a"/>
    <w:link w:val="a8"/>
    <w:uiPriority w:val="99"/>
    <w:unhideWhenUsed/>
    <w:rsid w:val="009306E4"/>
    <w:pPr>
      <w:snapToGrid w:val="0"/>
      <w:jc w:val="left"/>
    </w:pPr>
    <w:rPr>
      <w:rFonts w:asciiTheme="minorHAnsi" w:eastAsiaTheme="minorEastAsia" w:hAnsiTheme="minorHAnsi" w:cstheme="minorBidi"/>
      <w:szCs w:val="22"/>
    </w:rPr>
  </w:style>
  <w:style w:type="character" w:customStyle="1" w:styleId="a8">
    <w:name w:val="脚注文字列 (文字)"/>
    <w:basedOn w:val="a0"/>
    <w:link w:val="a7"/>
    <w:uiPriority w:val="99"/>
    <w:rsid w:val="009306E4"/>
    <w:rPr>
      <w:rFonts w:asciiTheme="minorHAnsi" w:eastAsiaTheme="minorEastAsia" w:hAnsiTheme="minorHAnsi" w:cstheme="minorBidi"/>
      <w:kern w:val="2"/>
      <w:sz w:val="21"/>
      <w:szCs w:val="22"/>
    </w:rPr>
  </w:style>
  <w:style w:type="character" w:styleId="a9">
    <w:name w:val="footnote reference"/>
    <w:basedOn w:val="a0"/>
    <w:uiPriority w:val="99"/>
    <w:unhideWhenUsed/>
    <w:rsid w:val="009306E4"/>
    <w:rPr>
      <w:vertAlign w:val="superscript"/>
    </w:rPr>
  </w:style>
  <w:style w:type="character" w:styleId="aa">
    <w:name w:val="Hyperlink"/>
    <w:basedOn w:val="a0"/>
    <w:uiPriority w:val="99"/>
    <w:unhideWhenUsed/>
    <w:rsid w:val="009D6BF5"/>
    <w:rPr>
      <w:b/>
      <w:bCs/>
      <w:strike w:val="0"/>
      <w:dstrike w:val="0"/>
      <w:color w:val="33CCFF"/>
      <w:u w:val="none"/>
      <w:effect w:val="none"/>
    </w:rPr>
  </w:style>
  <w:style w:type="paragraph" w:styleId="ab">
    <w:name w:val="List Paragraph"/>
    <w:basedOn w:val="a"/>
    <w:uiPriority w:val="34"/>
    <w:qFormat/>
    <w:rsid w:val="009D6BF5"/>
    <w:pPr>
      <w:ind w:leftChars="400" w:left="840"/>
    </w:pPr>
    <w:rPr>
      <w:rFonts w:asciiTheme="minorHAnsi" w:eastAsiaTheme="minorEastAsia" w:hAnsiTheme="minorHAnsi" w:cstheme="minorBidi"/>
      <w:szCs w:val="22"/>
    </w:rPr>
  </w:style>
  <w:style w:type="paragraph" w:styleId="ac">
    <w:name w:val="No Spacing"/>
    <w:uiPriority w:val="1"/>
    <w:qFormat/>
    <w:rsid w:val="0053622B"/>
    <w:pPr>
      <w:widowControl w:val="0"/>
      <w:jc w:val="both"/>
    </w:pPr>
    <w:rPr>
      <w:rFonts w:asciiTheme="minorHAnsi" w:eastAsiaTheme="minorEastAsia" w:hAnsiTheme="minorHAnsi" w:cstheme="minorBidi"/>
      <w:sz w:val="21"/>
      <w:szCs w:val="22"/>
    </w:rPr>
  </w:style>
  <w:style w:type="paragraph" w:styleId="ad">
    <w:name w:val="Balloon Text"/>
    <w:basedOn w:val="a"/>
    <w:link w:val="ae"/>
    <w:rsid w:val="00C23212"/>
    <w:rPr>
      <w:rFonts w:asciiTheme="majorHAnsi" w:eastAsiaTheme="majorEastAsia" w:hAnsiTheme="majorHAnsi" w:cstheme="majorBidi"/>
      <w:sz w:val="18"/>
      <w:szCs w:val="18"/>
    </w:rPr>
  </w:style>
  <w:style w:type="character" w:customStyle="1" w:styleId="ae">
    <w:name w:val="吹き出し (文字)"/>
    <w:basedOn w:val="a0"/>
    <w:link w:val="ad"/>
    <w:rsid w:val="00C23212"/>
    <w:rPr>
      <w:rFonts w:asciiTheme="majorHAnsi" w:eastAsiaTheme="majorEastAsia" w:hAnsiTheme="majorHAnsi" w:cstheme="majorBidi"/>
      <w:kern w:val="2"/>
      <w:sz w:val="18"/>
      <w:szCs w:val="18"/>
    </w:rPr>
  </w:style>
  <w:style w:type="paragraph" w:styleId="Web">
    <w:name w:val="Normal (Web)"/>
    <w:basedOn w:val="a"/>
    <w:uiPriority w:val="99"/>
    <w:unhideWhenUsed/>
    <w:rsid w:val="00BC34F8"/>
    <w:pPr>
      <w:widowControl/>
      <w:spacing w:after="225" w:line="336" w:lineRule="auto"/>
      <w:jc w:val="left"/>
    </w:pPr>
    <w:rPr>
      <w:rFonts w:ascii="ＭＳ Ｐゴシック" w:eastAsia="ＭＳ Ｐゴシック" w:hAnsi="ＭＳ Ｐゴシック" w:cs="ＭＳ Ｐゴシック"/>
      <w:kern w:val="0"/>
      <w:sz w:val="20"/>
      <w:szCs w:val="20"/>
    </w:rPr>
  </w:style>
  <w:style w:type="character" w:styleId="af">
    <w:name w:val="annotation reference"/>
    <w:basedOn w:val="a0"/>
    <w:rsid w:val="000E089D"/>
    <w:rPr>
      <w:sz w:val="18"/>
      <w:szCs w:val="18"/>
    </w:rPr>
  </w:style>
  <w:style w:type="paragraph" w:styleId="af0">
    <w:name w:val="annotation text"/>
    <w:basedOn w:val="a"/>
    <w:link w:val="af1"/>
    <w:rsid w:val="000E089D"/>
    <w:pPr>
      <w:jc w:val="left"/>
    </w:pPr>
  </w:style>
  <w:style w:type="character" w:customStyle="1" w:styleId="af1">
    <w:name w:val="コメント文字列 (文字)"/>
    <w:basedOn w:val="a0"/>
    <w:link w:val="af0"/>
    <w:rsid w:val="000E089D"/>
    <w:rPr>
      <w:kern w:val="2"/>
      <w:sz w:val="21"/>
      <w:szCs w:val="24"/>
    </w:rPr>
  </w:style>
  <w:style w:type="paragraph" w:styleId="af2">
    <w:name w:val="annotation subject"/>
    <w:basedOn w:val="af0"/>
    <w:next w:val="af0"/>
    <w:link w:val="af3"/>
    <w:rsid w:val="000E089D"/>
    <w:rPr>
      <w:b/>
      <w:bCs/>
    </w:rPr>
  </w:style>
  <w:style w:type="character" w:customStyle="1" w:styleId="af3">
    <w:name w:val="コメント内容 (文字)"/>
    <w:basedOn w:val="af1"/>
    <w:link w:val="af2"/>
    <w:rsid w:val="000E089D"/>
    <w:rPr>
      <w:b/>
      <w:bCs/>
    </w:rPr>
  </w:style>
  <w:style w:type="table" w:styleId="14">
    <w:name w:val="Colorful Grid Accent 1"/>
    <w:basedOn w:val="a1"/>
    <w:uiPriority w:val="73"/>
    <w:rsid w:val="00921947"/>
    <w:rPr>
      <w:rFonts w:asciiTheme="minorHAnsi" w:eastAsiaTheme="minorHAnsi" w:hAnsiTheme="minorHAnsi" w:cstheme="minorBidi"/>
      <w:color w:val="000000" w:themeColor="text1"/>
      <w:kern w:val="0"/>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a1"/>
    <w:uiPriority w:val="69"/>
    <w:rsid w:val="00921947"/>
    <w:rPr>
      <w:rFonts w:asciiTheme="minorHAnsi" w:eastAsiaTheme="minorHAnsi" w:hAnsiTheme="minorHAnsi" w:cstheme="minorBidi"/>
      <w:kern w:val="0"/>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1565993359">
      <w:bodyDiv w:val="1"/>
      <w:marLeft w:val="0"/>
      <w:marRight w:val="0"/>
      <w:marTop w:val="0"/>
      <w:marBottom w:val="0"/>
      <w:divBdr>
        <w:top w:val="none" w:sz="0" w:space="0" w:color="auto"/>
        <w:left w:val="none" w:sz="0" w:space="0" w:color="auto"/>
        <w:bottom w:val="none" w:sz="0" w:space="0" w:color="auto"/>
        <w:right w:val="none" w:sz="0" w:space="0" w:color="auto"/>
      </w:divBdr>
      <w:divsChild>
        <w:div w:id="1325166315">
          <w:marLeft w:val="0"/>
          <w:marRight w:val="0"/>
          <w:marTop w:val="0"/>
          <w:marBottom w:val="0"/>
          <w:divBdr>
            <w:top w:val="none" w:sz="0" w:space="0" w:color="auto"/>
            <w:left w:val="none" w:sz="0" w:space="0" w:color="auto"/>
            <w:bottom w:val="none" w:sz="0" w:space="0" w:color="auto"/>
            <w:right w:val="none" w:sz="0" w:space="0" w:color="auto"/>
          </w:divBdr>
          <w:divsChild>
            <w:div w:id="984313739">
              <w:marLeft w:val="0"/>
              <w:marRight w:val="0"/>
              <w:marTop w:val="0"/>
              <w:marBottom w:val="0"/>
              <w:divBdr>
                <w:top w:val="none" w:sz="0" w:space="0" w:color="auto"/>
                <w:left w:val="none" w:sz="0" w:space="0" w:color="auto"/>
                <w:bottom w:val="none" w:sz="0" w:space="0" w:color="auto"/>
                <w:right w:val="none" w:sz="0" w:space="0" w:color="auto"/>
              </w:divBdr>
              <w:divsChild>
                <w:div w:id="1433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7002">
      <w:bodyDiv w:val="1"/>
      <w:marLeft w:val="0"/>
      <w:marRight w:val="0"/>
      <w:marTop w:val="0"/>
      <w:marBottom w:val="0"/>
      <w:divBdr>
        <w:top w:val="none" w:sz="0" w:space="0" w:color="auto"/>
        <w:left w:val="none" w:sz="0" w:space="0" w:color="auto"/>
        <w:bottom w:val="none" w:sz="0" w:space="0" w:color="auto"/>
        <w:right w:val="none" w:sz="0" w:space="0" w:color="auto"/>
      </w:divBdr>
      <w:divsChild>
        <w:div w:id="189026159">
          <w:marLeft w:val="0"/>
          <w:marRight w:val="0"/>
          <w:marTop w:val="0"/>
          <w:marBottom w:val="0"/>
          <w:divBdr>
            <w:top w:val="none" w:sz="0" w:space="0" w:color="auto"/>
            <w:left w:val="none" w:sz="0" w:space="0" w:color="auto"/>
            <w:bottom w:val="none" w:sz="0" w:space="0" w:color="auto"/>
            <w:right w:val="none" w:sz="0" w:space="0" w:color="auto"/>
          </w:divBdr>
          <w:divsChild>
            <w:div w:id="716122285">
              <w:marLeft w:val="0"/>
              <w:marRight w:val="0"/>
              <w:marTop w:val="0"/>
              <w:marBottom w:val="0"/>
              <w:divBdr>
                <w:top w:val="none" w:sz="0" w:space="0" w:color="auto"/>
                <w:left w:val="none" w:sz="0" w:space="0" w:color="auto"/>
                <w:bottom w:val="none" w:sz="0" w:space="0" w:color="auto"/>
                <w:right w:val="none" w:sz="0" w:space="0" w:color="auto"/>
              </w:divBdr>
              <w:divsChild>
                <w:div w:id="1442917140">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7" Type="http://schemas.openxmlformats.org/officeDocument/2006/relationships/endnotes" Target="endnotes.xml"/><Relationship Id="rId1" Type="http://schemas.openxmlformats.org/officeDocument/2006/relationships/customXml" Target="../customXml/item1.xml"/><Relationship Id="rId24" Type="http://schemas.openxmlformats.org/officeDocument/2006/relationships/image" Target="media/image2.emf"/><Relationship Id="rId25" Type="http://schemas.openxmlformats.org/officeDocument/2006/relationships/footer" Target="footer1.xml"/><Relationship Id="rId8" Type="http://schemas.openxmlformats.org/officeDocument/2006/relationships/comments" Target="comments.xml"/><Relationship Id="rId13" Type="http://schemas.openxmlformats.org/officeDocument/2006/relationships/chart" Target="charts/chart5.xml"/><Relationship Id="rId10" Type="http://schemas.openxmlformats.org/officeDocument/2006/relationships/chart" Target="charts/chart2.xml"/><Relationship Id="rId12" Type="http://schemas.openxmlformats.org/officeDocument/2006/relationships/chart" Target="charts/chart4.xml"/><Relationship Id="rId17" Type="http://schemas.openxmlformats.org/officeDocument/2006/relationships/chart" Target="charts/chart9.xml"/><Relationship Id="rId9" Type="http://schemas.openxmlformats.org/officeDocument/2006/relationships/chart" Target="charts/chart1.xml"/><Relationship Id="rId18" Type="http://schemas.openxmlformats.org/officeDocument/2006/relationships/chart" Target="charts/chart10.xml"/><Relationship Id="rId3" Type="http://schemas.openxmlformats.org/officeDocument/2006/relationships/styles" Target="styles.xml"/><Relationship Id="rId27" Type="http://schemas.openxmlformats.org/officeDocument/2006/relationships/theme" Target="theme/theme1.xml"/><Relationship Id="rId14" Type="http://schemas.openxmlformats.org/officeDocument/2006/relationships/chart" Target="charts/chart6.xml"/><Relationship Id="rId23" Type="http://schemas.openxmlformats.org/officeDocument/2006/relationships/image" Target="media/image1.emf"/><Relationship Id="rId4" Type="http://schemas.openxmlformats.org/officeDocument/2006/relationships/settings" Target="settings.xml"/><Relationship Id="rId26" Type="http://schemas.openxmlformats.org/officeDocument/2006/relationships/fontTable" Target="fontTable.xml"/><Relationship Id="rId11" Type="http://schemas.openxmlformats.org/officeDocument/2006/relationships/chart" Target="charts/chart3.xml"/><Relationship Id="rId6" Type="http://schemas.openxmlformats.org/officeDocument/2006/relationships/footnotes" Target="footnotes.xml"/><Relationship Id="rId16"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chart" Target="charts/chart7.xml"/><Relationship Id="rId19" Type="http://schemas.openxmlformats.org/officeDocument/2006/relationships/chart" Target="charts/chart11.xml"/><Relationship Id="rId20" Type="http://schemas.openxmlformats.org/officeDocument/2006/relationships/chart" Target="charts/chart12.xml"/><Relationship Id="rId22" Type="http://schemas.openxmlformats.org/officeDocument/2006/relationships/chart" Target="charts/chart14.xml"/><Relationship Id="rId21" Type="http://schemas.openxmlformats.org/officeDocument/2006/relationships/chart" Target="charts/chart13.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12472;&#12519;&#12531;&#12477;&#12531;\&#12487;&#12473;&#12463;&#12488;&#12483;&#12503;\&#28845;&#32032;&#32330;&#32173;.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beta\student-17$\adp14103\&#12487;&#12473;&#12463;&#12488;&#12483;&#12503;\&#28845;&#32032;&#32330;&#3217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1&#29677;&#20013;&#38291;&#12524;&#12509;&#12540;&#12488;.zip%20&#12398;&#19968;&#26178;&#12487;&#12451;&#12524;&#12463;&#12488;&#12522;%202\1&#29677;&#20013;&#38291;&#12524;&#12509;&#12540;&#12488;\&#31532;2&#31680;&#12398;&#22259;&#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elta\student-4$\bmq19845\&#12487;&#12473;&#12463;&#12488;&#12483;&#12503;\&#20849;&#21516;&#30740;&#31350;\&#22826;&#38525;&#20809;&#30330;&#38651;&#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関東産業</a:t>
            </a:r>
          </a:p>
        </c:rich>
      </c:tx>
      <c:layout/>
    </c:title>
    <c:plotArea>
      <c:layout>
        <c:manualLayout>
          <c:layoutTarget val="inner"/>
          <c:xMode val="edge"/>
          <c:yMode val="edge"/>
          <c:x val="0.201183038337763"/>
          <c:y val="0.489949405995303"/>
          <c:w val="0.886299805744621"/>
          <c:h val="0.411205938707203"/>
        </c:manualLayout>
      </c:layout>
      <c:pieChart>
        <c:varyColors val="1"/>
        <c:ser>
          <c:idx val="0"/>
          <c:order val="0"/>
          <c:explosion val="25"/>
          <c:dPt>
            <c:idx val="7"/>
            <c:explosion val="16"/>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[1]Sheet1!$G$9:$G$23</c:f>
              <c:numCache>
                <c:formatCode>General</c:formatCode>
                <c:ptCount val="15"/>
                <c:pt idx="0">
                  <c:v>2006.0</c:v>
                </c:pt>
                <c:pt idx="1">
                  <c:v>301.0</c:v>
                </c:pt>
                <c:pt idx="2">
                  <c:v>87882.0</c:v>
                </c:pt>
                <c:pt idx="3">
                  <c:v>88339.0</c:v>
                </c:pt>
                <c:pt idx="4">
                  <c:v>185.0</c:v>
                </c:pt>
                <c:pt idx="5">
                  <c:v>18679.0</c:v>
                </c:pt>
                <c:pt idx="6">
                  <c:v>14196.0</c:v>
                </c:pt>
                <c:pt idx="7">
                  <c:v>152895.0</c:v>
                </c:pt>
                <c:pt idx="8">
                  <c:v>6370.0</c:v>
                </c:pt>
                <c:pt idx="9">
                  <c:v>44786.0</c:v>
                </c:pt>
                <c:pt idx="10">
                  <c:v>33992.0</c:v>
                </c:pt>
                <c:pt idx="11">
                  <c:v>5138.0</c:v>
                </c:pt>
                <c:pt idx="12">
                  <c:v>4998.0</c:v>
                </c:pt>
                <c:pt idx="13">
                  <c:v>11.0</c:v>
                </c:pt>
                <c:pt idx="14">
                  <c:v>84016.0</c:v>
                </c:pt>
              </c:numCache>
            </c:numRef>
          </c:val>
        </c:ser>
        <c:dLbls>
          <c:showPercent val="1"/>
        </c:dLbls>
        <c:firstSliceAng val="0"/>
      </c:pieChart>
      <c:spPr>
        <a:noFill/>
        <a:ln w="25400">
          <a:noFill/>
        </a:ln>
      </c:spPr>
    </c:plotArea>
    <c:legend>
      <c:legendPos val="t"/>
      <c:layout>
        <c:manualLayout>
          <c:xMode val="edge"/>
          <c:yMode val="edge"/>
          <c:x val="0.0"/>
          <c:y val="0.0988063666402777"/>
          <c:w val="1.0"/>
          <c:h val="0.264334144070568"/>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sz="1050" b="1" i="0" baseline="0"/>
              <a:t>太陽電池生産量シェア（</a:t>
            </a:r>
            <a:r>
              <a:rPr lang="en-US" sz="1050" b="1" i="0" baseline="0"/>
              <a:t>2005</a:t>
            </a:r>
            <a:r>
              <a:rPr lang="ja-JP" sz="1050" b="1" i="0" baseline="0"/>
              <a:t>）</a:t>
            </a:r>
            <a:endParaRPr lang="ja-JP" sz="1050"/>
          </a:p>
        </c:rich>
      </c:tx>
      <c:layout/>
    </c:title>
    <c:plotArea>
      <c:layout/>
      <c:pieChart>
        <c:varyColors val="1"/>
        <c:ser>
          <c:idx val="0"/>
          <c:order val="0"/>
          <c:dLbls>
            <c:showPercent val="1"/>
          </c:dLbls>
          <c:cat>
            <c:strRef>
              <c:f>Sheet1!$B$28:$B$33</c:f>
              <c:strCache>
                <c:ptCount val="6"/>
                <c:pt idx="0">
                  <c:v>シャープ</c:v>
                </c:pt>
                <c:pt idx="1">
                  <c:v>Qセルズ</c:v>
                </c:pt>
                <c:pt idx="2">
                  <c:v>京セラ</c:v>
                </c:pt>
                <c:pt idx="3">
                  <c:v>三洋電機</c:v>
                </c:pt>
                <c:pt idx="4">
                  <c:v>三菱電機</c:v>
                </c:pt>
                <c:pt idx="5">
                  <c:v>その他</c:v>
                </c:pt>
              </c:strCache>
            </c:strRef>
          </c:cat>
          <c:val>
            <c:numRef>
              <c:f>Sheet1!$C$28:$C$33</c:f>
              <c:numCache>
                <c:formatCode>General</c:formatCode>
                <c:ptCount val="6"/>
                <c:pt idx="0">
                  <c:v>24.8</c:v>
                </c:pt>
                <c:pt idx="1">
                  <c:v>9.3</c:v>
                </c:pt>
                <c:pt idx="2">
                  <c:v>8.200000000000001</c:v>
                </c:pt>
                <c:pt idx="3">
                  <c:v>7.2</c:v>
                </c:pt>
                <c:pt idx="4">
                  <c:v>5.8</c:v>
                </c:pt>
                <c:pt idx="5">
                  <c:v>44.7</c:v>
                </c:pt>
              </c:numCache>
            </c:numRef>
          </c:val>
        </c:ser>
        <c:dLbls>
          <c:showPercent val="1"/>
        </c:dLbls>
        <c:firstSliceAng val="0"/>
      </c:pieChart>
    </c:plotArea>
    <c:legend>
      <c:legendPos val="r"/>
      <c:layout/>
    </c:legend>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太陽電池生産量シェア（</a:t>
            </a:r>
            <a:r>
              <a:rPr lang="en-US" altLang="ja-JP" sz="1050"/>
              <a:t>2007</a:t>
            </a:r>
            <a:r>
              <a:rPr lang="ja-JP" altLang="en-US" sz="1050"/>
              <a:t>）</a:t>
            </a:r>
          </a:p>
        </c:rich>
      </c:tx>
      <c:layout/>
    </c:title>
    <c:plotArea>
      <c:layout/>
      <c:pieChart>
        <c:varyColors val="1"/>
        <c:ser>
          <c:idx val="0"/>
          <c:order val="0"/>
          <c:dLbls>
            <c:showPercent val="1"/>
          </c:dLbls>
          <c:cat>
            <c:strRef>
              <c:f>Sheet1!$B$18:$B$25</c:f>
              <c:strCache>
                <c:ptCount val="8"/>
                <c:pt idx="0">
                  <c:v>Qセルズ</c:v>
                </c:pt>
                <c:pt idx="1">
                  <c:v>シャープ</c:v>
                </c:pt>
                <c:pt idx="2">
                  <c:v>サンテックパワー</c:v>
                </c:pt>
                <c:pt idx="3">
                  <c:v>京セラ</c:v>
                </c:pt>
                <c:pt idx="4">
                  <c:v>ファーストソーラー</c:v>
                </c:pt>
                <c:pt idx="5">
                  <c:v>モーテック</c:v>
                </c:pt>
                <c:pt idx="6">
                  <c:v>三洋電機</c:v>
                </c:pt>
                <c:pt idx="7">
                  <c:v>その他</c:v>
                </c:pt>
              </c:strCache>
            </c:strRef>
          </c:cat>
          <c:val>
            <c:numRef>
              <c:f>Sheet1!$C$18:$C$25</c:f>
              <c:numCache>
                <c:formatCode>General</c:formatCode>
                <c:ptCount val="8"/>
                <c:pt idx="0">
                  <c:v>10.4</c:v>
                </c:pt>
                <c:pt idx="1">
                  <c:v>9.700000000000001</c:v>
                </c:pt>
                <c:pt idx="2">
                  <c:v>8.8</c:v>
                </c:pt>
                <c:pt idx="3">
                  <c:v>5.5</c:v>
                </c:pt>
                <c:pt idx="4">
                  <c:v>5.5</c:v>
                </c:pt>
                <c:pt idx="5">
                  <c:v>5.3</c:v>
                </c:pt>
                <c:pt idx="6">
                  <c:v>4.4</c:v>
                </c:pt>
                <c:pt idx="7">
                  <c:v>50.4</c:v>
                </c:pt>
              </c:numCache>
            </c:numRef>
          </c:val>
        </c:ser>
        <c:dLbls>
          <c:showPercent val="1"/>
        </c:dLbls>
        <c:firstSliceAng val="0"/>
      </c:pieChart>
    </c:plotArea>
    <c:legend>
      <c:legendPos val="r"/>
      <c:layout>
        <c:manualLayout>
          <c:xMode val="edge"/>
          <c:yMode val="edge"/>
          <c:x val="0.597522543985088"/>
          <c:y val="0.176660002098832"/>
          <c:w val="0.400282070434775"/>
          <c:h val="0.806926156709053"/>
        </c:manualLayout>
      </c:layout>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太陽電池生産量地域別シェア（</a:t>
            </a:r>
            <a:r>
              <a:rPr lang="en-US" altLang="ja-JP" sz="1050"/>
              <a:t>2007</a:t>
            </a:r>
            <a:r>
              <a:rPr lang="ja-JP" altLang="en-US" sz="1050"/>
              <a:t>）</a:t>
            </a:r>
          </a:p>
        </c:rich>
      </c:tx>
      <c:layout/>
    </c:title>
    <c:plotArea>
      <c:layout/>
      <c:pieChart>
        <c:varyColors val="1"/>
        <c:ser>
          <c:idx val="0"/>
          <c:order val="0"/>
          <c:explosion val="8"/>
          <c:dPt>
            <c:idx val="0"/>
            <c:explosion val="0"/>
          </c:dPt>
          <c:dPt>
            <c:idx val="1"/>
            <c:explosion val="0"/>
          </c:dPt>
          <c:dPt>
            <c:idx val="2"/>
            <c:explosion val="0"/>
          </c:dPt>
          <c:dPt>
            <c:idx val="3"/>
            <c:explosion val="0"/>
          </c:dPt>
          <c:dLbls>
            <c:showPercent val="1"/>
          </c:dLbls>
          <c:cat>
            <c:strRef>
              <c:f>Sheet1!$B$36:$B$39</c:f>
              <c:strCache>
                <c:ptCount val="4"/>
                <c:pt idx="0">
                  <c:v>欧州</c:v>
                </c:pt>
                <c:pt idx="1">
                  <c:v>日本</c:v>
                </c:pt>
                <c:pt idx="2">
                  <c:v>アメリカ</c:v>
                </c:pt>
                <c:pt idx="3">
                  <c:v>その他</c:v>
                </c:pt>
              </c:strCache>
            </c:strRef>
          </c:cat>
          <c:val>
            <c:numRef>
              <c:f>Sheet1!$C$36:$C$39</c:f>
              <c:numCache>
                <c:formatCode>General</c:formatCode>
                <c:ptCount val="4"/>
                <c:pt idx="0">
                  <c:v>28.5</c:v>
                </c:pt>
                <c:pt idx="1">
                  <c:v>24.6</c:v>
                </c:pt>
                <c:pt idx="2">
                  <c:v>7.1</c:v>
                </c:pt>
                <c:pt idx="3">
                  <c:v>39.8</c:v>
                </c:pt>
              </c:numCache>
            </c:numRef>
          </c:val>
        </c:ser>
        <c:dLbls>
          <c:showPercent val="1"/>
        </c:dLbls>
        <c:firstSliceAng val="0"/>
      </c:pieChart>
    </c:plotArea>
    <c:legend>
      <c:legendPos val="r"/>
      <c:layout/>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en-US" sz="1800" b="1" i="0" u="none" strike="noStrike" baseline="0"/>
              <a:t>PAN </a:t>
            </a:r>
            <a:r>
              <a:rPr lang="ja-JP" altLang="en-US" sz="1800" b="1" i="0" u="none" strike="noStrike" baseline="0"/>
              <a:t>系炭素繊維需要予測（２００５）</a:t>
            </a:r>
            <a:endParaRPr lang="ja-JP" altLang="en-US"/>
          </a:p>
        </c:rich>
      </c:tx>
      <c:layout>
        <c:manualLayout>
          <c:xMode val="edge"/>
          <c:yMode val="edge"/>
          <c:x val="0.123755954622096"/>
          <c:y val="0.0"/>
        </c:manualLayout>
      </c:layout>
    </c:title>
    <c:plotArea>
      <c:layout>
        <c:manualLayout>
          <c:layoutTarget val="inner"/>
          <c:xMode val="edge"/>
          <c:yMode val="edge"/>
          <c:x val="0.172970608403679"/>
          <c:y val="0.193044854467818"/>
          <c:w val="0.608101250857157"/>
          <c:h val="0.644606255586857"/>
        </c:manualLayout>
      </c:layout>
      <c:barChart>
        <c:barDir val="col"/>
        <c:grouping val="stacked"/>
        <c:ser>
          <c:idx val="0"/>
          <c:order val="0"/>
          <c:tx>
            <c:strRef>
              <c:f>Sheet1!$B$3</c:f>
              <c:strCache>
                <c:ptCount val="1"/>
                <c:pt idx="0">
                  <c:v>航空機</c:v>
                </c:pt>
              </c:strCache>
            </c:strRef>
          </c:tx>
          <c:cat>
            <c:strRef>
              <c:f>Sheet1!$A$4:$A$9</c:f>
              <c:strCache>
                <c:ptCount val="6"/>
                <c:pt idx="0">
                  <c:v>2005年</c:v>
                </c:pt>
                <c:pt idx="1">
                  <c:v>2006年</c:v>
                </c:pt>
                <c:pt idx="2">
                  <c:v>2007年</c:v>
                </c:pt>
                <c:pt idx="3">
                  <c:v>2008年</c:v>
                </c:pt>
                <c:pt idx="4">
                  <c:v>2009年</c:v>
                </c:pt>
                <c:pt idx="5">
                  <c:v>2010年</c:v>
                </c:pt>
              </c:strCache>
            </c:strRef>
          </c:cat>
          <c:val>
            <c:numRef>
              <c:f>Sheet1!$B$4:$B$9</c:f>
              <c:numCache>
                <c:formatCode>#,##0</c:formatCode>
                <c:ptCount val="6"/>
                <c:pt idx="0">
                  <c:v>4620.0</c:v>
                </c:pt>
                <c:pt idx="1">
                  <c:v>5630.0</c:v>
                </c:pt>
                <c:pt idx="2">
                  <c:v>6550.0</c:v>
                </c:pt>
                <c:pt idx="3">
                  <c:v>7050.0</c:v>
                </c:pt>
                <c:pt idx="4">
                  <c:v>7850.0</c:v>
                </c:pt>
                <c:pt idx="5">
                  <c:v>8530.0</c:v>
                </c:pt>
              </c:numCache>
            </c:numRef>
          </c:val>
        </c:ser>
        <c:ser>
          <c:idx val="1"/>
          <c:order val="1"/>
          <c:tx>
            <c:strRef>
              <c:f>Sheet1!$C$3</c:f>
              <c:strCache>
                <c:ptCount val="1"/>
                <c:pt idx="0">
                  <c:v>一般産業</c:v>
                </c:pt>
              </c:strCache>
            </c:strRef>
          </c:tx>
          <c:cat>
            <c:strRef>
              <c:f>Sheet1!$A$4:$A$9</c:f>
              <c:strCache>
                <c:ptCount val="6"/>
                <c:pt idx="0">
                  <c:v>2005年</c:v>
                </c:pt>
                <c:pt idx="1">
                  <c:v>2006年</c:v>
                </c:pt>
                <c:pt idx="2">
                  <c:v>2007年</c:v>
                </c:pt>
                <c:pt idx="3">
                  <c:v>2008年</c:v>
                </c:pt>
                <c:pt idx="4">
                  <c:v>2009年</c:v>
                </c:pt>
                <c:pt idx="5">
                  <c:v>2010年</c:v>
                </c:pt>
              </c:strCache>
            </c:strRef>
          </c:cat>
          <c:val>
            <c:numRef>
              <c:f>Sheet1!$C$4:$C$9</c:f>
              <c:numCache>
                <c:formatCode>#,##0</c:formatCode>
                <c:ptCount val="6"/>
                <c:pt idx="0">
                  <c:v>11300.0</c:v>
                </c:pt>
                <c:pt idx="1">
                  <c:v>13310.0</c:v>
                </c:pt>
                <c:pt idx="2">
                  <c:v>14970.0</c:v>
                </c:pt>
                <c:pt idx="3">
                  <c:v>17910.0</c:v>
                </c:pt>
                <c:pt idx="4">
                  <c:v>21050.0</c:v>
                </c:pt>
                <c:pt idx="5">
                  <c:v>23470.0</c:v>
                </c:pt>
              </c:numCache>
            </c:numRef>
          </c:val>
        </c:ser>
        <c:ser>
          <c:idx val="2"/>
          <c:order val="2"/>
          <c:tx>
            <c:strRef>
              <c:f>Sheet1!$D$3</c:f>
              <c:strCache>
                <c:ptCount val="1"/>
                <c:pt idx="0">
                  <c:v>スポーツ</c:v>
                </c:pt>
              </c:strCache>
            </c:strRef>
          </c:tx>
          <c:cat>
            <c:strRef>
              <c:f>Sheet1!$A$4:$A$9</c:f>
              <c:strCache>
                <c:ptCount val="6"/>
                <c:pt idx="0">
                  <c:v>2005年</c:v>
                </c:pt>
                <c:pt idx="1">
                  <c:v>2006年</c:v>
                </c:pt>
                <c:pt idx="2">
                  <c:v>2007年</c:v>
                </c:pt>
                <c:pt idx="3">
                  <c:v>2008年</c:v>
                </c:pt>
                <c:pt idx="4">
                  <c:v>2009年</c:v>
                </c:pt>
                <c:pt idx="5">
                  <c:v>2010年</c:v>
                </c:pt>
              </c:strCache>
            </c:strRef>
          </c:cat>
          <c:val>
            <c:numRef>
              <c:f>Sheet1!$D$4:$D$9</c:f>
              <c:numCache>
                <c:formatCode>#,##0</c:formatCode>
                <c:ptCount val="6"/>
                <c:pt idx="0">
                  <c:v>4900.0</c:v>
                </c:pt>
                <c:pt idx="1">
                  <c:v>5110.0</c:v>
                </c:pt>
                <c:pt idx="2">
                  <c:v>5260.0</c:v>
                </c:pt>
                <c:pt idx="3">
                  <c:v>5430.0</c:v>
                </c:pt>
                <c:pt idx="4">
                  <c:v>5610.0</c:v>
                </c:pt>
                <c:pt idx="5">
                  <c:v>5720.0</c:v>
                </c:pt>
              </c:numCache>
            </c:numRef>
          </c:val>
        </c:ser>
        <c:gapWidth val="58"/>
        <c:overlap val="100"/>
        <c:serLines/>
        <c:axId val="545179368"/>
        <c:axId val="544719272"/>
      </c:barChart>
      <c:catAx>
        <c:axId val="545179368"/>
        <c:scaling>
          <c:orientation val="minMax"/>
        </c:scaling>
        <c:axPos val="b"/>
        <c:majorTickMark val="none"/>
        <c:tickLblPos val="nextTo"/>
        <c:crossAx val="544719272"/>
        <c:crosses val="autoZero"/>
        <c:auto val="1"/>
        <c:lblAlgn val="ctr"/>
        <c:lblOffset val="100"/>
      </c:catAx>
      <c:valAx>
        <c:axId val="544719272"/>
        <c:scaling>
          <c:orientation val="minMax"/>
        </c:scaling>
        <c:axPos val="l"/>
        <c:majorGridlines/>
        <c:title>
          <c:tx>
            <c:rich>
              <a:bodyPr rot="0" vert="horz"/>
              <a:lstStyle/>
              <a:p>
                <a:pPr>
                  <a:defRPr/>
                </a:pPr>
                <a:r>
                  <a:rPr lang="ja-JP" altLang="en-US" sz="900">
                    <a:latin typeface="+mn-lt"/>
                    <a:ea typeface="+mj-ea"/>
                  </a:rPr>
                  <a:t>（</a:t>
                </a:r>
                <a:r>
                  <a:rPr lang="en-US" altLang="ja-JP" sz="900">
                    <a:latin typeface="+mn-lt"/>
                    <a:ea typeface="+mj-ea"/>
                  </a:rPr>
                  <a:t>t</a:t>
                </a:r>
                <a:r>
                  <a:rPr lang="ja-JP" altLang="en-US" sz="900">
                    <a:latin typeface="+mn-lt"/>
                    <a:ea typeface="+mj-ea"/>
                  </a:rPr>
                  <a:t>）</a:t>
                </a:r>
              </a:p>
            </c:rich>
          </c:tx>
          <c:layout>
            <c:manualLayout>
              <c:xMode val="edge"/>
              <c:yMode val="edge"/>
              <c:x val="0.14968814968815"/>
              <c:y val="0.102441179927136"/>
            </c:manualLayout>
          </c:layout>
        </c:title>
        <c:numFmt formatCode="#,##0" sourceLinked="1"/>
        <c:tickLblPos val="nextTo"/>
        <c:crossAx val="545179368"/>
        <c:crosses val="autoZero"/>
        <c:crossBetween val="between"/>
      </c:valAx>
    </c:plotArea>
    <c:legend>
      <c:legendPos val="r"/>
    </c:legend>
    <c:plotVisOnly val="1"/>
    <c:dispBlanksAs val="gap"/>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800" b="1" i="0" baseline="0"/>
              <a:t>世界：</a:t>
            </a:r>
            <a:r>
              <a:rPr lang="ja-JP" sz="1800" b="1" i="0" baseline="0"/>
              <a:t>炭素繊維シェア（</a:t>
            </a:r>
            <a:r>
              <a:rPr lang="en-US" sz="1800" b="1" i="0" baseline="0"/>
              <a:t>2008</a:t>
            </a:r>
            <a:r>
              <a:rPr lang="ja-JP" sz="1800" b="1" i="0" baseline="0"/>
              <a:t>）</a:t>
            </a:r>
            <a:endParaRPr lang="ja-JP"/>
          </a:p>
        </c:rich>
      </c:tx>
    </c:title>
    <c:plotArea>
      <c:layout/>
      <c:pieChart>
        <c:varyColors val="1"/>
        <c:ser>
          <c:idx val="0"/>
          <c:order val="0"/>
          <c:dLbls>
            <c:dLbl>
              <c:idx val="0"/>
              <c:layout>
                <c:manualLayout>
                  <c:x val="-0.144213473315836"/>
                  <c:y val="0.0873374161563138"/>
                </c:manualLayout>
              </c:layout>
              <c:tx>
                <c:rich>
                  <a:bodyPr/>
                  <a:lstStyle/>
                  <a:p>
                    <a:r>
                      <a:rPr lang="en-US" altLang="ja-JP" sz="1600"/>
                      <a:t>37%</a:t>
                    </a:r>
                  </a:p>
                </c:rich>
              </c:tx>
              <c:showPercent val="1"/>
            </c:dLbl>
            <c:dLbl>
              <c:idx val="1"/>
              <c:layout>
                <c:manualLayout>
                  <c:x val="-0.0127275809273841"/>
                  <c:y val="-0.188703703703704"/>
                </c:manualLayout>
              </c:layout>
              <c:tx>
                <c:rich>
                  <a:bodyPr/>
                  <a:lstStyle/>
                  <a:p>
                    <a:r>
                      <a:rPr lang="en-US" altLang="ja-JP" sz="1600"/>
                      <a:t>24%</a:t>
                    </a:r>
                  </a:p>
                </c:rich>
              </c:tx>
              <c:showPercent val="1"/>
            </c:dLbl>
            <c:dLbl>
              <c:idx val="2"/>
              <c:layout>
                <c:manualLayout>
                  <c:x val="0.149720691163605"/>
                  <c:y val="-0.0671886847477399"/>
                </c:manualLayout>
              </c:layout>
              <c:tx>
                <c:rich>
                  <a:bodyPr/>
                  <a:lstStyle/>
                  <a:p>
                    <a:r>
                      <a:rPr lang="en-US" altLang="ja-JP" sz="1600"/>
                      <a:t>16%</a:t>
                    </a:r>
                  </a:p>
                </c:rich>
              </c:tx>
              <c:showPercent val="1"/>
            </c:dLbl>
            <c:dLbl>
              <c:idx val="3"/>
              <c:layout>
                <c:manualLayout>
                  <c:x val="0.110182086614173"/>
                  <c:y val="0.0997189413823272"/>
                </c:manualLayout>
              </c:layout>
              <c:tx>
                <c:rich>
                  <a:bodyPr/>
                  <a:lstStyle/>
                  <a:p>
                    <a:r>
                      <a:rPr lang="en-US" altLang="ja-JP" sz="1600"/>
                      <a:t>11%</a:t>
                    </a:r>
                  </a:p>
                </c:rich>
              </c:tx>
              <c:showPercent val="1"/>
            </c:dLbl>
            <c:dLbl>
              <c:idx val="4"/>
              <c:layout>
                <c:manualLayout>
                  <c:x val="0.0433980752405949"/>
                  <c:y val="0.128180227471566"/>
                </c:manualLayout>
              </c:layout>
              <c:tx>
                <c:rich>
                  <a:bodyPr/>
                  <a:lstStyle/>
                  <a:p>
                    <a:r>
                      <a:rPr lang="en-US" altLang="ja-JP" sz="1600"/>
                      <a:t>8%</a:t>
                    </a:r>
                  </a:p>
                </c:rich>
              </c:tx>
              <c:showPercent val="1"/>
            </c:dLbl>
            <c:dLbl>
              <c:idx val="5"/>
              <c:layout>
                <c:manualLayout>
                  <c:x val="0.0135563210848644"/>
                  <c:y val="0.132396106736658"/>
                </c:manualLayout>
              </c:layout>
              <c:tx>
                <c:rich>
                  <a:bodyPr/>
                  <a:lstStyle/>
                  <a:p>
                    <a:r>
                      <a:rPr lang="en-US" altLang="ja-JP" sz="1600"/>
                      <a:t>4%</a:t>
                    </a:r>
                  </a:p>
                </c:rich>
              </c:tx>
              <c:showPercent val="1"/>
            </c:dLbl>
            <c:showPercent val="1"/>
          </c:dLbls>
          <c:cat>
            <c:strRef>
              <c:f>Sheet1!$F$19:$F$24</c:f>
              <c:strCache>
                <c:ptCount val="6"/>
                <c:pt idx="0">
                  <c:v>東レ</c:v>
                </c:pt>
                <c:pt idx="1">
                  <c:v>東邦テナックス　</c:v>
                </c:pt>
                <c:pt idx="2">
                  <c:v>三菱レーヨン</c:v>
                </c:pt>
                <c:pt idx="3">
                  <c:v>フォルモサ・プラスチック</c:v>
                </c:pt>
                <c:pt idx="4">
                  <c:v>ヘキセル</c:v>
                </c:pt>
                <c:pt idx="5">
                  <c:v>サイテック</c:v>
                </c:pt>
              </c:strCache>
            </c:strRef>
          </c:cat>
          <c:val>
            <c:numRef>
              <c:f>Sheet1!$G$19:$G$24</c:f>
              <c:numCache>
                <c:formatCode>0.0_ </c:formatCode>
                <c:ptCount val="6"/>
                <c:pt idx="0">
                  <c:v>36.9</c:v>
                </c:pt>
                <c:pt idx="1">
                  <c:v>24.3</c:v>
                </c:pt>
                <c:pt idx="2">
                  <c:v>16.3</c:v>
                </c:pt>
                <c:pt idx="3">
                  <c:v>10.6</c:v>
                </c:pt>
                <c:pt idx="4">
                  <c:v>8.0</c:v>
                </c:pt>
                <c:pt idx="5">
                  <c:v>3.9</c:v>
                </c:pt>
              </c:numCache>
            </c:numRef>
          </c:val>
        </c:ser>
        <c:dLbls>
          <c:showPercent val="1"/>
        </c:dLbls>
        <c:firstSliceAng val="0"/>
      </c:pieChart>
    </c:plotArea>
    <c:legend>
      <c:legendPos val="r"/>
      <c:layout>
        <c:manualLayout>
          <c:xMode val="edge"/>
          <c:yMode val="edge"/>
          <c:x val="0.619950131233599"/>
          <c:y val="0.188897637795276"/>
          <c:w val="0.26060542432196"/>
          <c:h val="0.651834354039081"/>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中部産業</a:t>
            </a:r>
            <a:endParaRPr lang="en-US" altLang="ja-JP"/>
          </a:p>
        </c:rich>
      </c:tx>
      <c:layout/>
    </c:title>
    <c:plotArea>
      <c:layout>
        <c:manualLayout>
          <c:layoutTarget val="inner"/>
          <c:xMode val="edge"/>
          <c:yMode val="edge"/>
          <c:x val="0.0399645114783187"/>
          <c:y val="0.500519361685293"/>
          <c:w val="0.893779897231157"/>
          <c:h val="0.415847789668494"/>
        </c:manualLayout>
      </c:layout>
      <c:pieChart>
        <c:varyColors val="1"/>
        <c:ser>
          <c:idx val="0"/>
          <c:order val="0"/>
          <c:explosion val="25"/>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[1]Sheet1!$J$9:$J$23</c:f>
              <c:numCache>
                <c:formatCode>General</c:formatCode>
                <c:ptCount val="15"/>
                <c:pt idx="0">
                  <c:v>0.138281838733986</c:v>
                </c:pt>
                <c:pt idx="1">
                  <c:v>0.207687894434882</c:v>
                </c:pt>
                <c:pt idx="2">
                  <c:v>0.17123593419112</c:v>
                </c:pt>
                <c:pt idx="3">
                  <c:v>0.225456991741672</c:v>
                </c:pt>
                <c:pt idx="4">
                  <c:v>0.116402116402116</c:v>
                </c:pt>
                <c:pt idx="5">
                  <c:v>0.0970163083765752</c:v>
                </c:pt>
                <c:pt idx="6">
                  <c:v>0.153402859907537</c:v>
                </c:pt>
                <c:pt idx="7">
                  <c:v>0.159685994050794</c:v>
                </c:pt>
                <c:pt idx="8">
                  <c:v>0.148681722104795</c:v>
                </c:pt>
                <c:pt idx="9">
                  <c:v>0.121876201460977</c:v>
                </c:pt>
                <c:pt idx="10">
                  <c:v>0.168931969806492</c:v>
                </c:pt>
                <c:pt idx="11">
                  <c:v>0.138635462118207</c:v>
                </c:pt>
                <c:pt idx="12">
                  <c:v>0.150397088021178</c:v>
                </c:pt>
                <c:pt idx="13">
                  <c:v>0.0975609756097562</c:v>
                </c:pt>
                <c:pt idx="14">
                  <c:v>0.14713836017915</c:v>
                </c:pt>
              </c:numCache>
            </c:numRef>
          </c:val>
        </c:ser>
        <c:dLbls>
          <c:showPercent val="1"/>
        </c:dLbls>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関西産業</a:t>
            </a:r>
            <a:endParaRPr lang="en-US" altLang="ja-JP"/>
          </a:p>
        </c:rich>
      </c:tx>
      <c:layout/>
    </c:title>
    <c:plotArea>
      <c:layout>
        <c:manualLayout>
          <c:layoutTarget val="inner"/>
          <c:xMode val="edge"/>
          <c:yMode val="edge"/>
          <c:x val="0.0775231969243282"/>
          <c:y val="0.507588882515514"/>
          <c:w val="0.890024028686556"/>
          <c:h val="0.418488119448646"/>
        </c:manualLayout>
      </c:layout>
      <c:pieChart>
        <c:varyColors val="1"/>
        <c:ser>
          <c:idx val="0"/>
          <c:order val="0"/>
          <c:explosion val="6"/>
          <c:dPt>
            <c:idx val="7"/>
            <c:explosion val="13"/>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[1]Sheet1!$E$9:$E$23</c:f>
              <c:numCache>
                <c:formatCode>General</c:formatCode>
                <c:ptCount val="15"/>
                <c:pt idx="0">
                  <c:v>1695.0</c:v>
                </c:pt>
                <c:pt idx="1">
                  <c:v>386.0</c:v>
                </c:pt>
                <c:pt idx="2">
                  <c:v>75034.0</c:v>
                </c:pt>
                <c:pt idx="3">
                  <c:v>98149.0</c:v>
                </c:pt>
                <c:pt idx="4">
                  <c:v>67.0</c:v>
                </c:pt>
                <c:pt idx="5">
                  <c:v>6830.0</c:v>
                </c:pt>
                <c:pt idx="6">
                  <c:v>12973.0</c:v>
                </c:pt>
                <c:pt idx="7">
                  <c:v>127306.0</c:v>
                </c:pt>
                <c:pt idx="8">
                  <c:v>4841.0</c:v>
                </c:pt>
                <c:pt idx="9">
                  <c:v>29568.0</c:v>
                </c:pt>
                <c:pt idx="10">
                  <c:v>21604.0</c:v>
                </c:pt>
                <c:pt idx="11">
                  <c:v>4561.0</c:v>
                </c:pt>
                <c:pt idx="12">
                  <c:v>3441.0</c:v>
                </c:pt>
                <c:pt idx="13">
                  <c:v>6.0</c:v>
                </c:pt>
                <c:pt idx="14">
                  <c:v>55269.0</c:v>
                </c:pt>
              </c:numCache>
            </c:numRef>
          </c:val>
        </c:ser>
        <c:dLbls>
          <c:showPercent val="1"/>
        </c:dLbls>
        <c:firstSliceAng val="0"/>
      </c:pieChart>
      <c:spPr>
        <a:noFill/>
        <a:ln w="25400">
          <a:noFill/>
        </a:ln>
      </c:spPr>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関東：</a:t>
            </a:r>
            <a:r>
              <a:rPr lang="en-US" altLang="ja-JP"/>
              <a:t>PER</a:t>
            </a:r>
            <a:r>
              <a:rPr lang="ja-JP" altLang="en-US"/>
              <a:t>と</a:t>
            </a:r>
            <a:r>
              <a:rPr lang="en-US" altLang="en-US"/>
              <a:t>PBR</a:t>
            </a:r>
          </a:p>
        </c:rich>
      </c:tx>
      <c:layout/>
    </c:title>
    <c:plotArea>
      <c:layout/>
      <c:scatterChart>
        <c:scatterStyle val="lineMarker"/>
        <c:ser>
          <c:idx val="0"/>
          <c:order val="0"/>
          <c:tx>
            <c:strRef>
              <c:f>Sheet1!$C$1</c:f>
              <c:strCache>
                <c:ptCount val="1"/>
                <c:pt idx="0">
                  <c:v>PBR</c:v>
                </c:pt>
              </c:strCache>
            </c:strRef>
          </c:tx>
          <c:spPr>
            <a:ln w="28575">
              <a:noFill/>
            </a:ln>
          </c:spPr>
          <c:xVal>
            <c:numRef>
              <c:f>Sheet1!$B$2:$B$155</c:f>
              <c:numCache>
                <c:formatCode>General</c:formatCode>
                <c:ptCount val="154"/>
                <c:pt idx="0">
                  <c:v>74.07</c:v>
                </c:pt>
                <c:pt idx="1">
                  <c:v>69.0</c:v>
                </c:pt>
                <c:pt idx="2">
                  <c:v>53.84</c:v>
                </c:pt>
                <c:pt idx="3">
                  <c:v>53.34</c:v>
                </c:pt>
                <c:pt idx="4">
                  <c:v>41.22000000000001</c:v>
                </c:pt>
                <c:pt idx="5">
                  <c:v>35.73000000000001</c:v>
                </c:pt>
                <c:pt idx="6">
                  <c:v>35.64</c:v>
                </c:pt>
                <c:pt idx="7">
                  <c:v>35.39</c:v>
                </c:pt>
                <c:pt idx="8">
                  <c:v>34.88</c:v>
                </c:pt>
                <c:pt idx="9">
                  <c:v>33.25</c:v>
                </c:pt>
                <c:pt idx="10">
                  <c:v>30.25</c:v>
                </c:pt>
                <c:pt idx="11">
                  <c:v>28.9</c:v>
                </c:pt>
                <c:pt idx="12">
                  <c:v>28.31000000000003</c:v>
                </c:pt>
                <c:pt idx="13">
                  <c:v>27.03</c:v>
                </c:pt>
                <c:pt idx="14">
                  <c:v>26.9</c:v>
                </c:pt>
                <c:pt idx="15">
                  <c:v>26.37</c:v>
                </c:pt>
                <c:pt idx="16">
                  <c:v>26.12</c:v>
                </c:pt>
                <c:pt idx="17">
                  <c:v>24.72</c:v>
                </c:pt>
                <c:pt idx="18">
                  <c:v>24.13000000000003</c:v>
                </c:pt>
                <c:pt idx="19">
                  <c:v>23.85</c:v>
                </c:pt>
                <c:pt idx="20">
                  <c:v>22.49</c:v>
                </c:pt>
                <c:pt idx="21">
                  <c:v>22.41999999999999</c:v>
                </c:pt>
                <c:pt idx="22">
                  <c:v>22.39</c:v>
                </c:pt>
                <c:pt idx="23">
                  <c:v>22.33000000000001</c:v>
                </c:pt>
                <c:pt idx="24">
                  <c:v>21.91</c:v>
                </c:pt>
                <c:pt idx="25">
                  <c:v>21.47999999999999</c:v>
                </c:pt>
                <c:pt idx="26">
                  <c:v>20.8</c:v>
                </c:pt>
                <c:pt idx="27">
                  <c:v>20.58</c:v>
                </c:pt>
                <c:pt idx="28">
                  <c:v>20.27</c:v>
                </c:pt>
                <c:pt idx="29">
                  <c:v>20.19</c:v>
                </c:pt>
                <c:pt idx="30">
                  <c:v>19.54</c:v>
                </c:pt>
                <c:pt idx="31">
                  <c:v>19.54</c:v>
                </c:pt>
                <c:pt idx="32">
                  <c:v>19.31</c:v>
                </c:pt>
                <c:pt idx="33">
                  <c:v>18.95</c:v>
                </c:pt>
                <c:pt idx="34">
                  <c:v>18.6</c:v>
                </c:pt>
                <c:pt idx="35">
                  <c:v>18.16</c:v>
                </c:pt>
                <c:pt idx="36">
                  <c:v>17.47</c:v>
                </c:pt>
                <c:pt idx="37">
                  <c:v>17.32999999999999</c:v>
                </c:pt>
                <c:pt idx="38">
                  <c:v>17.23</c:v>
                </c:pt>
                <c:pt idx="39">
                  <c:v>17.22</c:v>
                </c:pt>
                <c:pt idx="40">
                  <c:v>17.15</c:v>
                </c:pt>
                <c:pt idx="41">
                  <c:v>17.07</c:v>
                </c:pt>
                <c:pt idx="42">
                  <c:v>16.89</c:v>
                </c:pt>
                <c:pt idx="43">
                  <c:v>16.5</c:v>
                </c:pt>
                <c:pt idx="44">
                  <c:v>16.47999999999999</c:v>
                </c:pt>
                <c:pt idx="45">
                  <c:v>16.36</c:v>
                </c:pt>
                <c:pt idx="46">
                  <c:v>16.32999999999999</c:v>
                </c:pt>
                <c:pt idx="47">
                  <c:v>16.2</c:v>
                </c:pt>
                <c:pt idx="48">
                  <c:v>16.19</c:v>
                </c:pt>
                <c:pt idx="49">
                  <c:v>16.16</c:v>
                </c:pt>
                <c:pt idx="50">
                  <c:v>15.98</c:v>
                </c:pt>
                <c:pt idx="51">
                  <c:v>15.78</c:v>
                </c:pt>
                <c:pt idx="52">
                  <c:v>15.58</c:v>
                </c:pt>
                <c:pt idx="53">
                  <c:v>15.51</c:v>
                </c:pt>
                <c:pt idx="54">
                  <c:v>15.45000000000001</c:v>
                </c:pt>
                <c:pt idx="55">
                  <c:v>15.39</c:v>
                </c:pt>
                <c:pt idx="56">
                  <c:v>15.27</c:v>
                </c:pt>
                <c:pt idx="57">
                  <c:v>15.15</c:v>
                </c:pt>
                <c:pt idx="58">
                  <c:v>15.06</c:v>
                </c:pt>
                <c:pt idx="59">
                  <c:v>14.71</c:v>
                </c:pt>
                <c:pt idx="60">
                  <c:v>14.7</c:v>
                </c:pt>
                <c:pt idx="61">
                  <c:v>14.66</c:v>
                </c:pt>
                <c:pt idx="62">
                  <c:v>14.54</c:v>
                </c:pt>
                <c:pt idx="63">
                  <c:v>14.47</c:v>
                </c:pt>
                <c:pt idx="64">
                  <c:v>14.19</c:v>
                </c:pt>
                <c:pt idx="65">
                  <c:v>13.95000000000001</c:v>
                </c:pt>
                <c:pt idx="66">
                  <c:v>13.67</c:v>
                </c:pt>
                <c:pt idx="67">
                  <c:v>13.56</c:v>
                </c:pt>
                <c:pt idx="68">
                  <c:v>13.32</c:v>
                </c:pt>
                <c:pt idx="69">
                  <c:v>13.03</c:v>
                </c:pt>
                <c:pt idx="70">
                  <c:v>12.83</c:v>
                </c:pt>
                <c:pt idx="71">
                  <c:v>12.77</c:v>
                </c:pt>
                <c:pt idx="72">
                  <c:v>12.54</c:v>
                </c:pt>
                <c:pt idx="73">
                  <c:v>12.48</c:v>
                </c:pt>
                <c:pt idx="74">
                  <c:v>12.46</c:v>
                </c:pt>
                <c:pt idx="75">
                  <c:v>12.36000000000002</c:v>
                </c:pt>
                <c:pt idx="76">
                  <c:v>12.32</c:v>
                </c:pt>
                <c:pt idx="77">
                  <c:v>12.31</c:v>
                </c:pt>
                <c:pt idx="78">
                  <c:v>12.27</c:v>
                </c:pt>
                <c:pt idx="79">
                  <c:v>12.01</c:v>
                </c:pt>
                <c:pt idx="80">
                  <c:v>12.0</c:v>
                </c:pt>
                <c:pt idx="81">
                  <c:v>11.89</c:v>
                </c:pt>
                <c:pt idx="82">
                  <c:v>11.58</c:v>
                </c:pt>
                <c:pt idx="83">
                  <c:v>11.54</c:v>
                </c:pt>
                <c:pt idx="84">
                  <c:v>11.48</c:v>
                </c:pt>
                <c:pt idx="85">
                  <c:v>11.43</c:v>
                </c:pt>
                <c:pt idx="86">
                  <c:v>11.3</c:v>
                </c:pt>
                <c:pt idx="87">
                  <c:v>11.29</c:v>
                </c:pt>
                <c:pt idx="88">
                  <c:v>11.16</c:v>
                </c:pt>
                <c:pt idx="89">
                  <c:v>11.11</c:v>
                </c:pt>
                <c:pt idx="90">
                  <c:v>11.1</c:v>
                </c:pt>
                <c:pt idx="91">
                  <c:v>11.0</c:v>
                </c:pt>
                <c:pt idx="92">
                  <c:v>10.83</c:v>
                </c:pt>
                <c:pt idx="93">
                  <c:v>10.76</c:v>
                </c:pt>
                <c:pt idx="94">
                  <c:v>10.67</c:v>
                </c:pt>
                <c:pt idx="95">
                  <c:v>10.67</c:v>
                </c:pt>
                <c:pt idx="96">
                  <c:v>10.59</c:v>
                </c:pt>
                <c:pt idx="97">
                  <c:v>10.58</c:v>
                </c:pt>
                <c:pt idx="98">
                  <c:v>10.34</c:v>
                </c:pt>
                <c:pt idx="99">
                  <c:v>10.32</c:v>
                </c:pt>
                <c:pt idx="100">
                  <c:v>10.32</c:v>
                </c:pt>
                <c:pt idx="101">
                  <c:v>10.29</c:v>
                </c:pt>
                <c:pt idx="102">
                  <c:v>9.83</c:v>
                </c:pt>
                <c:pt idx="103">
                  <c:v>9.790000000000001</c:v>
                </c:pt>
                <c:pt idx="104">
                  <c:v>9.68</c:v>
                </c:pt>
                <c:pt idx="105">
                  <c:v>9.66</c:v>
                </c:pt>
                <c:pt idx="106">
                  <c:v>9.5</c:v>
                </c:pt>
                <c:pt idx="107">
                  <c:v>9.0</c:v>
                </c:pt>
                <c:pt idx="108">
                  <c:v>8.850000000000006</c:v>
                </c:pt>
                <c:pt idx="109">
                  <c:v>8.620000000000001</c:v>
                </c:pt>
                <c:pt idx="110">
                  <c:v>8.530000000000001</c:v>
                </c:pt>
                <c:pt idx="111">
                  <c:v>8.44</c:v>
                </c:pt>
                <c:pt idx="112">
                  <c:v>8.42</c:v>
                </c:pt>
                <c:pt idx="113">
                  <c:v>8.32</c:v>
                </c:pt>
                <c:pt idx="114">
                  <c:v>8.200000000000001</c:v>
                </c:pt>
                <c:pt idx="115">
                  <c:v>8.200000000000001</c:v>
                </c:pt>
                <c:pt idx="116">
                  <c:v>7.99</c:v>
                </c:pt>
                <c:pt idx="117">
                  <c:v>7.92</c:v>
                </c:pt>
                <c:pt idx="118">
                  <c:v>7.92</c:v>
                </c:pt>
                <c:pt idx="119">
                  <c:v>7.91</c:v>
                </c:pt>
                <c:pt idx="120">
                  <c:v>7.659999999999997</c:v>
                </c:pt>
                <c:pt idx="121">
                  <c:v>7.470000000000002</c:v>
                </c:pt>
                <c:pt idx="122">
                  <c:v>7.38</c:v>
                </c:pt>
                <c:pt idx="123">
                  <c:v>7.38</c:v>
                </c:pt>
                <c:pt idx="124">
                  <c:v>7.33</c:v>
                </c:pt>
                <c:pt idx="125">
                  <c:v>7.3</c:v>
                </c:pt>
                <c:pt idx="126">
                  <c:v>7.25</c:v>
                </c:pt>
                <c:pt idx="127">
                  <c:v>7.17</c:v>
                </c:pt>
                <c:pt idx="128">
                  <c:v>7.05</c:v>
                </c:pt>
                <c:pt idx="129">
                  <c:v>6.78</c:v>
                </c:pt>
                <c:pt idx="130">
                  <c:v>6.76</c:v>
                </c:pt>
                <c:pt idx="131">
                  <c:v>6.73</c:v>
                </c:pt>
                <c:pt idx="132">
                  <c:v>6.55</c:v>
                </c:pt>
                <c:pt idx="133">
                  <c:v>6.45</c:v>
                </c:pt>
                <c:pt idx="134">
                  <c:v>6.28</c:v>
                </c:pt>
                <c:pt idx="135">
                  <c:v>6.270000000000001</c:v>
                </c:pt>
                <c:pt idx="136">
                  <c:v>6.18</c:v>
                </c:pt>
                <c:pt idx="137">
                  <c:v>6.1</c:v>
                </c:pt>
                <c:pt idx="138">
                  <c:v>6.06</c:v>
                </c:pt>
                <c:pt idx="139">
                  <c:v>6.0</c:v>
                </c:pt>
                <c:pt idx="140">
                  <c:v>5.88</c:v>
                </c:pt>
                <c:pt idx="141">
                  <c:v>5.81</c:v>
                </c:pt>
                <c:pt idx="142">
                  <c:v>5.8</c:v>
                </c:pt>
                <c:pt idx="143">
                  <c:v>5.74</c:v>
                </c:pt>
                <c:pt idx="144">
                  <c:v>5.64</c:v>
                </c:pt>
                <c:pt idx="145">
                  <c:v>5.6</c:v>
                </c:pt>
                <c:pt idx="146">
                  <c:v>5.56</c:v>
                </c:pt>
                <c:pt idx="147">
                  <c:v>5.46</c:v>
                </c:pt>
                <c:pt idx="148">
                  <c:v>5.41</c:v>
                </c:pt>
                <c:pt idx="149">
                  <c:v>5.119999999999997</c:v>
                </c:pt>
                <c:pt idx="150">
                  <c:v>5.1</c:v>
                </c:pt>
                <c:pt idx="151">
                  <c:v>5.07</c:v>
                </c:pt>
                <c:pt idx="152">
                  <c:v>4.87</c:v>
                </c:pt>
                <c:pt idx="153">
                  <c:v>4.689999999999999</c:v>
                </c:pt>
              </c:numCache>
            </c:numRef>
          </c:xVal>
          <c:yVal>
            <c:numRef>
              <c:f>Sheet1!$C$2:$C$155</c:f>
              <c:numCache>
                <c:formatCode>General</c:formatCode>
                <c:ptCount val="154"/>
                <c:pt idx="0">
                  <c:v>20.56</c:v>
                </c:pt>
                <c:pt idx="1">
                  <c:v>0.45</c:v>
                </c:pt>
                <c:pt idx="2">
                  <c:v>0.52</c:v>
                </c:pt>
                <c:pt idx="3">
                  <c:v>0.55</c:v>
                </c:pt>
                <c:pt idx="4">
                  <c:v>10.04</c:v>
                </c:pt>
                <c:pt idx="5">
                  <c:v>2.23</c:v>
                </c:pt>
                <c:pt idx="6">
                  <c:v>7.7</c:v>
                </c:pt>
                <c:pt idx="7">
                  <c:v>1.52</c:v>
                </c:pt>
                <c:pt idx="8">
                  <c:v>1.3</c:v>
                </c:pt>
                <c:pt idx="9">
                  <c:v>1.85</c:v>
                </c:pt>
                <c:pt idx="10">
                  <c:v>1.670000000000002</c:v>
                </c:pt>
                <c:pt idx="11">
                  <c:v>6.76</c:v>
                </c:pt>
                <c:pt idx="12">
                  <c:v>7.14</c:v>
                </c:pt>
                <c:pt idx="13">
                  <c:v>0.610000000000001</c:v>
                </c:pt>
                <c:pt idx="14">
                  <c:v>4.2</c:v>
                </c:pt>
                <c:pt idx="15">
                  <c:v>1.58</c:v>
                </c:pt>
                <c:pt idx="16">
                  <c:v>0.960000000000001</c:v>
                </c:pt>
                <c:pt idx="17">
                  <c:v>2.22</c:v>
                </c:pt>
                <c:pt idx="18">
                  <c:v>2.52</c:v>
                </c:pt>
                <c:pt idx="19">
                  <c:v>1.1</c:v>
                </c:pt>
                <c:pt idx="20">
                  <c:v>6.25</c:v>
                </c:pt>
                <c:pt idx="21">
                  <c:v>2.68</c:v>
                </c:pt>
                <c:pt idx="22">
                  <c:v>0.600000000000001</c:v>
                </c:pt>
                <c:pt idx="23">
                  <c:v>0.960000000000001</c:v>
                </c:pt>
                <c:pt idx="24">
                  <c:v>2.54</c:v>
                </c:pt>
                <c:pt idx="25">
                  <c:v>3.03</c:v>
                </c:pt>
                <c:pt idx="26">
                  <c:v>1.1</c:v>
                </c:pt>
                <c:pt idx="27">
                  <c:v>1.9</c:v>
                </c:pt>
                <c:pt idx="28">
                  <c:v>3.05</c:v>
                </c:pt>
                <c:pt idx="29">
                  <c:v>0.690000000000001</c:v>
                </c:pt>
                <c:pt idx="30">
                  <c:v>0.99</c:v>
                </c:pt>
                <c:pt idx="31">
                  <c:v>1.81</c:v>
                </c:pt>
                <c:pt idx="32">
                  <c:v>2.12</c:v>
                </c:pt>
                <c:pt idx="33">
                  <c:v>0.5</c:v>
                </c:pt>
                <c:pt idx="34">
                  <c:v>1.31</c:v>
                </c:pt>
                <c:pt idx="35">
                  <c:v>1.76</c:v>
                </c:pt>
                <c:pt idx="36">
                  <c:v>1.49</c:v>
                </c:pt>
                <c:pt idx="37">
                  <c:v>1.88</c:v>
                </c:pt>
                <c:pt idx="38">
                  <c:v>0.88</c:v>
                </c:pt>
                <c:pt idx="39">
                  <c:v>0.620000000000001</c:v>
                </c:pt>
                <c:pt idx="40">
                  <c:v>5.76</c:v>
                </c:pt>
                <c:pt idx="41">
                  <c:v>1.08</c:v>
                </c:pt>
                <c:pt idx="42">
                  <c:v>1.25</c:v>
                </c:pt>
                <c:pt idx="43">
                  <c:v>0.54</c:v>
                </c:pt>
                <c:pt idx="44">
                  <c:v>1.43</c:v>
                </c:pt>
                <c:pt idx="45">
                  <c:v>0.830000000000001</c:v>
                </c:pt>
                <c:pt idx="46">
                  <c:v>1.76</c:v>
                </c:pt>
                <c:pt idx="47">
                  <c:v>3.5</c:v>
                </c:pt>
                <c:pt idx="48">
                  <c:v>1.11</c:v>
                </c:pt>
                <c:pt idx="49">
                  <c:v>3.12</c:v>
                </c:pt>
                <c:pt idx="50">
                  <c:v>0.690000000000001</c:v>
                </c:pt>
                <c:pt idx="51">
                  <c:v>5.34</c:v>
                </c:pt>
                <c:pt idx="52">
                  <c:v>1.4</c:v>
                </c:pt>
                <c:pt idx="53">
                  <c:v>1.139999999999997</c:v>
                </c:pt>
                <c:pt idx="54">
                  <c:v>2.77</c:v>
                </c:pt>
                <c:pt idx="55">
                  <c:v>1.83</c:v>
                </c:pt>
                <c:pt idx="56">
                  <c:v>0.690000000000001</c:v>
                </c:pt>
                <c:pt idx="57">
                  <c:v>0.670000000000001</c:v>
                </c:pt>
                <c:pt idx="58">
                  <c:v>1.139999999999997</c:v>
                </c:pt>
                <c:pt idx="59">
                  <c:v>1.690000000000002</c:v>
                </c:pt>
                <c:pt idx="60">
                  <c:v>1.4</c:v>
                </c:pt>
                <c:pt idx="61">
                  <c:v>1.690000000000002</c:v>
                </c:pt>
                <c:pt idx="62">
                  <c:v>1.129999999999997</c:v>
                </c:pt>
                <c:pt idx="63">
                  <c:v>1.07</c:v>
                </c:pt>
                <c:pt idx="64">
                  <c:v>2.24</c:v>
                </c:pt>
                <c:pt idx="65">
                  <c:v>1.9</c:v>
                </c:pt>
                <c:pt idx="66">
                  <c:v>1.25</c:v>
                </c:pt>
                <c:pt idx="67">
                  <c:v>1.75</c:v>
                </c:pt>
                <c:pt idx="68">
                  <c:v>0.870000000000001</c:v>
                </c:pt>
                <c:pt idx="69">
                  <c:v>3.69</c:v>
                </c:pt>
                <c:pt idx="70">
                  <c:v>0.600000000000001</c:v>
                </c:pt>
                <c:pt idx="71">
                  <c:v>1.03</c:v>
                </c:pt>
                <c:pt idx="72">
                  <c:v>1.62</c:v>
                </c:pt>
                <c:pt idx="73">
                  <c:v>0.98</c:v>
                </c:pt>
                <c:pt idx="74">
                  <c:v>1.12</c:v>
                </c:pt>
                <c:pt idx="75">
                  <c:v>1.83</c:v>
                </c:pt>
                <c:pt idx="76">
                  <c:v>0.52</c:v>
                </c:pt>
                <c:pt idx="77">
                  <c:v>1.12</c:v>
                </c:pt>
                <c:pt idx="78">
                  <c:v>0.59</c:v>
                </c:pt>
                <c:pt idx="79">
                  <c:v>2.6</c:v>
                </c:pt>
                <c:pt idx="80">
                  <c:v>1.63</c:v>
                </c:pt>
                <c:pt idx="81">
                  <c:v>1.81</c:v>
                </c:pt>
                <c:pt idx="82">
                  <c:v>1.12</c:v>
                </c:pt>
                <c:pt idx="83">
                  <c:v>0.820000000000001</c:v>
                </c:pt>
                <c:pt idx="84">
                  <c:v>0.620000000000001</c:v>
                </c:pt>
                <c:pt idx="85">
                  <c:v>0.52</c:v>
                </c:pt>
                <c:pt idx="86">
                  <c:v>1.38</c:v>
                </c:pt>
                <c:pt idx="87">
                  <c:v>0.720000000000001</c:v>
                </c:pt>
                <c:pt idx="88">
                  <c:v>1.78</c:v>
                </c:pt>
                <c:pt idx="89">
                  <c:v>1.75</c:v>
                </c:pt>
                <c:pt idx="90">
                  <c:v>1.48</c:v>
                </c:pt>
                <c:pt idx="91">
                  <c:v>0.760000000000001</c:v>
                </c:pt>
                <c:pt idx="92">
                  <c:v>1.170000000000002</c:v>
                </c:pt>
                <c:pt idx="93">
                  <c:v>1.970000000000002</c:v>
                </c:pt>
                <c:pt idx="94">
                  <c:v>1.1</c:v>
                </c:pt>
                <c:pt idx="95">
                  <c:v>1.51</c:v>
                </c:pt>
                <c:pt idx="96">
                  <c:v>1.33</c:v>
                </c:pt>
                <c:pt idx="97">
                  <c:v>0.91</c:v>
                </c:pt>
                <c:pt idx="98">
                  <c:v>0.390000000000001</c:v>
                </c:pt>
                <c:pt idx="99">
                  <c:v>0.770000000000001</c:v>
                </c:pt>
                <c:pt idx="100">
                  <c:v>1.1</c:v>
                </c:pt>
                <c:pt idx="101">
                  <c:v>2.01</c:v>
                </c:pt>
                <c:pt idx="102">
                  <c:v>0.610000000000001</c:v>
                </c:pt>
                <c:pt idx="103">
                  <c:v>0.740000000000001</c:v>
                </c:pt>
                <c:pt idx="104">
                  <c:v>1.07</c:v>
                </c:pt>
                <c:pt idx="105">
                  <c:v>0.89</c:v>
                </c:pt>
                <c:pt idx="106">
                  <c:v>1.180000000000002</c:v>
                </c:pt>
                <c:pt idx="107">
                  <c:v>0.88</c:v>
                </c:pt>
                <c:pt idx="108">
                  <c:v>1.129999999999997</c:v>
                </c:pt>
                <c:pt idx="109">
                  <c:v>0.630000000000001</c:v>
                </c:pt>
                <c:pt idx="110">
                  <c:v>1.24</c:v>
                </c:pt>
                <c:pt idx="111">
                  <c:v>0.92</c:v>
                </c:pt>
                <c:pt idx="112">
                  <c:v>0.690000000000001</c:v>
                </c:pt>
                <c:pt idx="113">
                  <c:v>0.960000000000001</c:v>
                </c:pt>
                <c:pt idx="114">
                  <c:v>0.59</c:v>
                </c:pt>
                <c:pt idx="115">
                  <c:v>0.79</c:v>
                </c:pt>
                <c:pt idx="116">
                  <c:v>1.3</c:v>
                </c:pt>
                <c:pt idx="117">
                  <c:v>0.54</c:v>
                </c:pt>
                <c:pt idx="118">
                  <c:v>0.93</c:v>
                </c:pt>
                <c:pt idx="119">
                  <c:v>1.32</c:v>
                </c:pt>
                <c:pt idx="120">
                  <c:v>1.23</c:v>
                </c:pt>
                <c:pt idx="121">
                  <c:v>0.870000000000001</c:v>
                </c:pt>
                <c:pt idx="122">
                  <c:v>0.750000000000001</c:v>
                </c:pt>
                <c:pt idx="123">
                  <c:v>0.770000000000001</c:v>
                </c:pt>
                <c:pt idx="124">
                  <c:v>0.99</c:v>
                </c:pt>
                <c:pt idx="125">
                  <c:v>1.07</c:v>
                </c:pt>
                <c:pt idx="126">
                  <c:v>0.93</c:v>
                </c:pt>
                <c:pt idx="127">
                  <c:v>3.11</c:v>
                </c:pt>
                <c:pt idx="128">
                  <c:v>1.47</c:v>
                </c:pt>
                <c:pt idx="129">
                  <c:v>0.670000000000001</c:v>
                </c:pt>
                <c:pt idx="130">
                  <c:v>0.870000000000001</c:v>
                </c:pt>
                <c:pt idx="131">
                  <c:v>0.660000000000001</c:v>
                </c:pt>
                <c:pt idx="132">
                  <c:v>1.0</c:v>
                </c:pt>
                <c:pt idx="133">
                  <c:v>0.88</c:v>
                </c:pt>
                <c:pt idx="134">
                  <c:v>0.98</c:v>
                </c:pt>
                <c:pt idx="135">
                  <c:v>1.03</c:v>
                </c:pt>
                <c:pt idx="136">
                  <c:v>0.820000000000001</c:v>
                </c:pt>
                <c:pt idx="137">
                  <c:v>0.940000000000001</c:v>
                </c:pt>
                <c:pt idx="138">
                  <c:v>0.58</c:v>
                </c:pt>
                <c:pt idx="139">
                  <c:v>1.07</c:v>
                </c:pt>
                <c:pt idx="140">
                  <c:v>1.129999999999997</c:v>
                </c:pt>
                <c:pt idx="141">
                  <c:v>1.09</c:v>
                </c:pt>
                <c:pt idx="142">
                  <c:v>0.950000000000001</c:v>
                </c:pt>
                <c:pt idx="143">
                  <c:v>0.950000000000001</c:v>
                </c:pt>
                <c:pt idx="144">
                  <c:v>0.58</c:v>
                </c:pt>
                <c:pt idx="145">
                  <c:v>0.56</c:v>
                </c:pt>
                <c:pt idx="146">
                  <c:v>0.37</c:v>
                </c:pt>
                <c:pt idx="147">
                  <c:v>0.55</c:v>
                </c:pt>
                <c:pt idx="148">
                  <c:v>1.01</c:v>
                </c:pt>
                <c:pt idx="149">
                  <c:v>1.2</c:v>
                </c:pt>
                <c:pt idx="150">
                  <c:v>0.54</c:v>
                </c:pt>
                <c:pt idx="151">
                  <c:v>0.89</c:v>
                </c:pt>
                <c:pt idx="152">
                  <c:v>0.960000000000001</c:v>
                </c:pt>
                <c:pt idx="153">
                  <c:v>1.27</c:v>
                </c:pt>
              </c:numCache>
            </c:numRef>
          </c:yVal>
        </c:ser>
        <c:axId val="616214056"/>
        <c:axId val="569915624"/>
      </c:scatterChart>
      <c:valAx>
        <c:axId val="616214056"/>
        <c:scaling>
          <c:orientation val="minMax"/>
          <c:max val="70.0"/>
        </c:scaling>
        <c:axPos val="b"/>
        <c:title>
          <c:tx>
            <c:rich>
              <a:bodyPr/>
              <a:lstStyle/>
              <a:p>
                <a:pPr>
                  <a:defRPr/>
                </a:pPr>
                <a:r>
                  <a:rPr lang="en-US" altLang="ja-JP"/>
                  <a:t>PER</a:t>
                </a:r>
                <a:endParaRPr lang="ja-JP" altLang="en-US"/>
              </a:p>
            </c:rich>
          </c:tx>
          <c:layout/>
        </c:title>
        <c:numFmt formatCode="General" sourceLinked="1"/>
        <c:tickLblPos val="nextTo"/>
        <c:crossAx val="569915624"/>
        <c:crosses val="autoZero"/>
        <c:crossBetween val="midCat"/>
      </c:valAx>
      <c:valAx>
        <c:axId val="569915624"/>
        <c:scaling>
          <c:orientation val="minMax"/>
          <c:max val="5.0"/>
        </c:scaling>
        <c:axPos val="l"/>
        <c:majorGridlines/>
        <c:title>
          <c:tx>
            <c:rich>
              <a:bodyPr rot="-5400000" vert="horz"/>
              <a:lstStyle/>
              <a:p>
                <a:pPr>
                  <a:defRPr/>
                </a:pPr>
                <a:r>
                  <a:rPr lang="en-US" altLang="ja-JP"/>
                  <a:t>PBR</a:t>
                </a:r>
                <a:endParaRPr lang="ja-JP" altLang="en-US"/>
              </a:p>
            </c:rich>
          </c:tx>
          <c:layout/>
        </c:title>
        <c:numFmt formatCode="General" sourceLinked="1"/>
        <c:tickLblPos val="nextTo"/>
        <c:crossAx val="616214056"/>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中部：</a:t>
            </a:r>
            <a:r>
              <a:rPr lang="en-US" altLang="ja-JP"/>
              <a:t>PER</a:t>
            </a:r>
            <a:r>
              <a:rPr lang="ja-JP" altLang="en-US"/>
              <a:t>と</a:t>
            </a:r>
            <a:r>
              <a:rPr lang="en-US" altLang="en-US"/>
              <a:t>PBR</a:t>
            </a:r>
          </a:p>
        </c:rich>
      </c:tx>
      <c:layout/>
    </c:title>
    <c:plotArea>
      <c:layout/>
      <c:scatterChart>
        <c:scatterStyle val="lineMarker"/>
        <c:ser>
          <c:idx val="0"/>
          <c:order val="0"/>
          <c:tx>
            <c:strRef>
              <c:f>Sheet1!$C$1</c:f>
              <c:strCache>
                <c:ptCount val="1"/>
                <c:pt idx="0">
                  <c:v>PBR</c:v>
                </c:pt>
              </c:strCache>
            </c:strRef>
          </c:tx>
          <c:spPr>
            <a:ln w="28575">
              <a:noFill/>
            </a:ln>
          </c:spPr>
          <c:xVal>
            <c:numRef>
              <c:f>Sheet1!$B$2:$B$37</c:f>
              <c:numCache>
                <c:formatCode>General</c:formatCode>
                <c:ptCount val="36"/>
                <c:pt idx="0">
                  <c:v>2.91</c:v>
                </c:pt>
                <c:pt idx="1">
                  <c:v>3.08</c:v>
                </c:pt>
                <c:pt idx="2">
                  <c:v>3.23</c:v>
                </c:pt>
                <c:pt idx="3">
                  <c:v>3.37</c:v>
                </c:pt>
                <c:pt idx="4">
                  <c:v>4.119999999999997</c:v>
                </c:pt>
                <c:pt idx="5">
                  <c:v>4.17</c:v>
                </c:pt>
                <c:pt idx="6">
                  <c:v>4.51</c:v>
                </c:pt>
                <c:pt idx="7">
                  <c:v>5.18</c:v>
                </c:pt>
                <c:pt idx="8">
                  <c:v>5.22</c:v>
                </c:pt>
                <c:pt idx="9">
                  <c:v>5.430000000000002</c:v>
                </c:pt>
                <c:pt idx="10">
                  <c:v>5.72</c:v>
                </c:pt>
                <c:pt idx="11">
                  <c:v>5.92</c:v>
                </c:pt>
                <c:pt idx="12">
                  <c:v>6.22</c:v>
                </c:pt>
                <c:pt idx="13">
                  <c:v>6.35</c:v>
                </c:pt>
                <c:pt idx="14">
                  <c:v>6.39</c:v>
                </c:pt>
                <c:pt idx="15">
                  <c:v>6.609999999999998</c:v>
                </c:pt>
                <c:pt idx="16">
                  <c:v>7.22</c:v>
                </c:pt>
                <c:pt idx="17">
                  <c:v>7.35</c:v>
                </c:pt>
                <c:pt idx="18">
                  <c:v>7.55</c:v>
                </c:pt>
                <c:pt idx="19">
                  <c:v>7.76</c:v>
                </c:pt>
                <c:pt idx="20">
                  <c:v>7.859999999999998</c:v>
                </c:pt>
                <c:pt idx="21">
                  <c:v>8.460000000000002</c:v>
                </c:pt>
                <c:pt idx="22">
                  <c:v>8.61</c:v>
                </c:pt>
                <c:pt idx="23">
                  <c:v>9.229999999999998</c:v>
                </c:pt>
                <c:pt idx="24">
                  <c:v>9.59</c:v>
                </c:pt>
                <c:pt idx="25">
                  <c:v>9.700000000000001</c:v>
                </c:pt>
                <c:pt idx="26">
                  <c:v>10.84</c:v>
                </c:pt>
                <c:pt idx="27">
                  <c:v>11.07</c:v>
                </c:pt>
                <c:pt idx="28">
                  <c:v>11.44</c:v>
                </c:pt>
                <c:pt idx="29">
                  <c:v>12.5</c:v>
                </c:pt>
                <c:pt idx="30">
                  <c:v>12.76</c:v>
                </c:pt>
                <c:pt idx="31">
                  <c:v>15.22</c:v>
                </c:pt>
                <c:pt idx="32">
                  <c:v>16.19</c:v>
                </c:pt>
                <c:pt idx="33">
                  <c:v>18.64</c:v>
                </c:pt>
                <c:pt idx="34">
                  <c:v>30.56</c:v>
                </c:pt>
                <c:pt idx="35">
                  <c:v>50.0</c:v>
                </c:pt>
              </c:numCache>
            </c:numRef>
          </c:xVal>
          <c:yVal>
            <c:numRef>
              <c:f>Sheet1!$C$2:$C$37</c:f>
              <c:numCache>
                <c:formatCode>General</c:formatCode>
                <c:ptCount val="36"/>
                <c:pt idx="0">
                  <c:v>0.37</c:v>
                </c:pt>
                <c:pt idx="1">
                  <c:v>0.41</c:v>
                </c:pt>
                <c:pt idx="2">
                  <c:v>0.49</c:v>
                </c:pt>
                <c:pt idx="3">
                  <c:v>0.740000000000002</c:v>
                </c:pt>
                <c:pt idx="4">
                  <c:v>0.49</c:v>
                </c:pt>
                <c:pt idx="5">
                  <c:v>0.51</c:v>
                </c:pt>
                <c:pt idx="6">
                  <c:v>0.600000000000001</c:v>
                </c:pt>
                <c:pt idx="7">
                  <c:v>0.600000000000001</c:v>
                </c:pt>
                <c:pt idx="8">
                  <c:v>0.600000000000001</c:v>
                </c:pt>
                <c:pt idx="9">
                  <c:v>0.610000000000001</c:v>
                </c:pt>
                <c:pt idx="10">
                  <c:v>0.45</c:v>
                </c:pt>
                <c:pt idx="11">
                  <c:v>0.860000000000001</c:v>
                </c:pt>
                <c:pt idx="12">
                  <c:v>0.97</c:v>
                </c:pt>
                <c:pt idx="13">
                  <c:v>0.92</c:v>
                </c:pt>
                <c:pt idx="14">
                  <c:v>0.8</c:v>
                </c:pt>
                <c:pt idx="15">
                  <c:v>0.52</c:v>
                </c:pt>
                <c:pt idx="16">
                  <c:v>0.58</c:v>
                </c:pt>
                <c:pt idx="17">
                  <c:v>0.57</c:v>
                </c:pt>
                <c:pt idx="18">
                  <c:v>0.44</c:v>
                </c:pt>
                <c:pt idx="19">
                  <c:v>1.12</c:v>
                </c:pt>
                <c:pt idx="20">
                  <c:v>0.710000000000001</c:v>
                </c:pt>
                <c:pt idx="21">
                  <c:v>0.55</c:v>
                </c:pt>
                <c:pt idx="22">
                  <c:v>0.89</c:v>
                </c:pt>
                <c:pt idx="23">
                  <c:v>0.9</c:v>
                </c:pt>
                <c:pt idx="24">
                  <c:v>1.46</c:v>
                </c:pt>
                <c:pt idx="25">
                  <c:v>1.06</c:v>
                </c:pt>
                <c:pt idx="26">
                  <c:v>1.180000000000004</c:v>
                </c:pt>
                <c:pt idx="27">
                  <c:v>0.650000000000002</c:v>
                </c:pt>
                <c:pt idx="28">
                  <c:v>2.0</c:v>
                </c:pt>
                <c:pt idx="29">
                  <c:v>0.53</c:v>
                </c:pt>
                <c:pt idx="30">
                  <c:v>1.66</c:v>
                </c:pt>
                <c:pt idx="31">
                  <c:v>1.53</c:v>
                </c:pt>
                <c:pt idx="32">
                  <c:v>0.750000000000002</c:v>
                </c:pt>
                <c:pt idx="33">
                  <c:v>0.5</c:v>
                </c:pt>
                <c:pt idx="34">
                  <c:v>1.26</c:v>
                </c:pt>
                <c:pt idx="35">
                  <c:v>0.730000000000001</c:v>
                </c:pt>
              </c:numCache>
            </c:numRef>
          </c:yVal>
        </c:ser>
        <c:axId val="616192056"/>
        <c:axId val="616189720"/>
      </c:scatterChart>
      <c:valAx>
        <c:axId val="616192056"/>
        <c:scaling>
          <c:orientation val="minMax"/>
          <c:max val="70.0"/>
        </c:scaling>
        <c:axPos val="b"/>
        <c:title>
          <c:tx>
            <c:rich>
              <a:bodyPr/>
              <a:lstStyle/>
              <a:p>
                <a:pPr>
                  <a:defRPr/>
                </a:pPr>
                <a:r>
                  <a:rPr lang="en-US" altLang="ja-JP"/>
                  <a:t>PER</a:t>
                </a:r>
                <a:endParaRPr lang="ja-JP" altLang="en-US"/>
              </a:p>
            </c:rich>
          </c:tx>
          <c:layout/>
        </c:title>
        <c:numFmt formatCode="General" sourceLinked="1"/>
        <c:tickLblPos val="nextTo"/>
        <c:crossAx val="616189720"/>
        <c:crosses val="autoZero"/>
        <c:crossBetween val="midCat"/>
      </c:valAx>
      <c:valAx>
        <c:axId val="616189720"/>
        <c:scaling>
          <c:orientation val="minMax"/>
          <c:max val="5.0"/>
        </c:scaling>
        <c:axPos val="l"/>
        <c:majorGridlines/>
        <c:title>
          <c:tx>
            <c:rich>
              <a:bodyPr rot="-5400000" vert="horz"/>
              <a:lstStyle/>
              <a:p>
                <a:pPr>
                  <a:defRPr/>
                </a:pPr>
                <a:r>
                  <a:rPr lang="en-US" altLang="ja-JP"/>
                  <a:t>PBR</a:t>
                </a:r>
                <a:endParaRPr lang="ja-JP" altLang="en-US"/>
              </a:p>
            </c:rich>
          </c:tx>
          <c:layout/>
        </c:title>
        <c:numFmt formatCode="General" sourceLinked="1"/>
        <c:tickLblPos val="nextTo"/>
        <c:crossAx val="616192056"/>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関東：</a:t>
            </a:r>
            <a:r>
              <a:rPr lang="en-US" altLang="ja-JP"/>
              <a:t>ROE</a:t>
            </a:r>
            <a:r>
              <a:rPr lang="ja-JP" altLang="en-US"/>
              <a:t>と自己資本率</a:t>
            </a:r>
          </a:p>
        </c:rich>
      </c:tx>
      <c:layout/>
    </c:title>
    <c:plotArea>
      <c:layout/>
      <c:scatterChart>
        <c:scatterStyle val="lineMarker"/>
        <c:ser>
          <c:idx val="0"/>
          <c:order val="0"/>
          <c:tx>
            <c:strRef>
              <c:f>Sheet1!$E$1</c:f>
              <c:strCache>
                <c:ptCount val="1"/>
                <c:pt idx="0">
                  <c:v>自己資本率</c:v>
                </c:pt>
              </c:strCache>
            </c:strRef>
          </c:tx>
          <c:spPr>
            <a:ln w="28575">
              <a:noFill/>
            </a:ln>
          </c:spPr>
          <c:xVal>
            <c:numRef>
              <c:f>Sheet1!$D$2:$D$187</c:f>
              <c:numCache>
                <c:formatCode>General</c:formatCode>
                <c:ptCount val="186"/>
                <c:pt idx="0">
                  <c:v>32.06</c:v>
                </c:pt>
                <c:pt idx="1">
                  <c:v>0.640000000000001</c:v>
                </c:pt>
                <c:pt idx="2">
                  <c:v>0.93</c:v>
                </c:pt>
                <c:pt idx="3">
                  <c:v>1.02</c:v>
                </c:pt>
                <c:pt idx="4">
                  <c:v>27.89</c:v>
                </c:pt>
                <c:pt idx="5">
                  <c:v>6.649999999999999</c:v>
                </c:pt>
                <c:pt idx="6">
                  <c:v>23.58</c:v>
                </c:pt>
                <c:pt idx="7">
                  <c:v>4.08</c:v>
                </c:pt>
                <c:pt idx="8">
                  <c:v>4.42</c:v>
                </c:pt>
                <c:pt idx="9">
                  <c:v>5.619999999999996</c:v>
                </c:pt>
                <c:pt idx="10">
                  <c:v>5.430000000000002</c:v>
                </c:pt>
                <c:pt idx="11">
                  <c:v>25.81000000000003</c:v>
                </c:pt>
                <c:pt idx="12">
                  <c:v>28.54</c:v>
                </c:pt>
                <c:pt idx="13">
                  <c:v>2.22</c:v>
                </c:pt>
                <c:pt idx="14">
                  <c:v>16.86</c:v>
                </c:pt>
                <c:pt idx="15">
                  <c:v>6.09</c:v>
                </c:pt>
                <c:pt idx="16">
                  <c:v>3.54</c:v>
                </c:pt>
                <c:pt idx="17">
                  <c:v>9.48</c:v>
                </c:pt>
                <c:pt idx="18">
                  <c:v>10.36000000000002</c:v>
                </c:pt>
                <c:pt idx="19">
                  <c:v>4.609999999999998</c:v>
                </c:pt>
                <c:pt idx="20">
                  <c:v>28.06</c:v>
                </c:pt>
                <c:pt idx="21">
                  <c:v>11.63</c:v>
                </c:pt>
                <c:pt idx="22">
                  <c:v>2.65</c:v>
                </c:pt>
                <c:pt idx="23">
                  <c:v>4.31</c:v>
                </c:pt>
                <c:pt idx="24">
                  <c:v>11.69</c:v>
                </c:pt>
                <c:pt idx="25">
                  <c:v>14.89</c:v>
                </c:pt>
                <c:pt idx="26">
                  <c:v>5.23</c:v>
                </c:pt>
                <c:pt idx="27">
                  <c:v>9.47</c:v>
                </c:pt>
                <c:pt idx="28">
                  <c:v>15.01</c:v>
                </c:pt>
                <c:pt idx="29">
                  <c:v>3.4</c:v>
                </c:pt>
                <c:pt idx="30">
                  <c:v>5.02</c:v>
                </c:pt>
                <c:pt idx="31">
                  <c:v>9.200000000000001</c:v>
                </c:pt>
                <c:pt idx="32">
                  <c:v>11.33</c:v>
                </c:pt>
                <c:pt idx="33">
                  <c:v>2.63</c:v>
                </c:pt>
                <c:pt idx="34">
                  <c:v>7.04</c:v>
                </c:pt>
                <c:pt idx="35">
                  <c:v>10.03</c:v>
                </c:pt>
                <c:pt idx="36">
                  <c:v>8.65</c:v>
                </c:pt>
                <c:pt idx="37">
                  <c:v>11.11</c:v>
                </c:pt>
                <c:pt idx="38">
                  <c:v>5.05</c:v>
                </c:pt>
                <c:pt idx="39">
                  <c:v>3.62</c:v>
                </c:pt>
                <c:pt idx="40">
                  <c:v>35.8</c:v>
                </c:pt>
                <c:pt idx="41">
                  <c:v>6.51</c:v>
                </c:pt>
                <c:pt idx="42">
                  <c:v>7.38</c:v>
                </c:pt>
                <c:pt idx="43">
                  <c:v>3.32</c:v>
                </c:pt>
                <c:pt idx="44">
                  <c:v>9.040000000000001</c:v>
                </c:pt>
                <c:pt idx="45">
                  <c:v>4.930000000000002</c:v>
                </c:pt>
                <c:pt idx="46">
                  <c:v>11.22</c:v>
                </c:pt>
                <c:pt idx="47">
                  <c:v>23.64</c:v>
                </c:pt>
                <c:pt idx="48">
                  <c:v>7.02</c:v>
                </c:pt>
                <c:pt idx="49">
                  <c:v>20.45</c:v>
                </c:pt>
                <c:pt idx="50">
                  <c:v>4.41</c:v>
                </c:pt>
                <c:pt idx="51">
                  <c:v>40.41</c:v>
                </c:pt>
                <c:pt idx="52">
                  <c:v>9.11</c:v>
                </c:pt>
                <c:pt idx="53">
                  <c:v>7.48</c:v>
                </c:pt>
                <c:pt idx="54">
                  <c:v>19.23999999999999</c:v>
                </c:pt>
                <c:pt idx="55">
                  <c:v>12.3</c:v>
                </c:pt>
                <c:pt idx="56">
                  <c:v>4.35</c:v>
                </c:pt>
                <c:pt idx="57">
                  <c:v>4.42</c:v>
                </c:pt>
                <c:pt idx="58">
                  <c:v>7.76</c:v>
                </c:pt>
                <c:pt idx="59">
                  <c:v>11.64</c:v>
                </c:pt>
                <c:pt idx="60">
                  <c:v>9.47</c:v>
                </c:pt>
                <c:pt idx="61">
                  <c:v>11.83</c:v>
                </c:pt>
                <c:pt idx="62">
                  <c:v>7.689999999999999</c:v>
                </c:pt>
                <c:pt idx="63">
                  <c:v>7.46</c:v>
                </c:pt>
                <c:pt idx="64">
                  <c:v>16.95999999999999</c:v>
                </c:pt>
                <c:pt idx="65">
                  <c:v>13.32</c:v>
                </c:pt>
                <c:pt idx="66">
                  <c:v>9.1</c:v>
                </c:pt>
                <c:pt idx="67">
                  <c:v>13.47</c:v>
                </c:pt>
                <c:pt idx="68">
                  <c:v>6.03</c:v>
                </c:pt>
                <c:pt idx="69">
                  <c:v>32.59</c:v>
                </c:pt>
                <c:pt idx="70">
                  <c:v>4.64</c:v>
                </c:pt>
                <c:pt idx="71">
                  <c:v>8.130000000000001</c:v>
                </c:pt>
                <c:pt idx="72">
                  <c:v>13.61</c:v>
                </c:pt>
                <c:pt idx="73">
                  <c:v>8.08</c:v>
                </c:pt>
                <c:pt idx="74">
                  <c:v>9.120000000000001</c:v>
                </c:pt>
                <c:pt idx="75">
                  <c:v>15.46</c:v>
                </c:pt>
                <c:pt idx="76">
                  <c:v>4.319999999999998</c:v>
                </c:pt>
                <c:pt idx="77">
                  <c:v>9.360000000000004</c:v>
                </c:pt>
                <c:pt idx="78">
                  <c:v>4.79</c:v>
                </c:pt>
                <c:pt idx="79">
                  <c:v>23.33000000000001</c:v>
                </c:pt>
                <c:pt idx="80">
                  <c:v>14.36000000000002</c:v>
                </c:pt>
                <c:pt idx="81">
                  <c:v>15.87000000000001</c:v>
                </c:pt>
                <c:pt idx="82">
                  <c:v>10.61</c:v>
                </c:pt>
                <c:pt idx="83">
                  <c:v>7.159999999999997</c:v>
                </c:pt>
                <c:pt idx="84">
                  <c:v>5.359999999999998</c:v>
                </c:pt>
                <c:pt idx="85">
                  <c:v>4.73</c:v>
                </c:pt>
                <c:pt idx="86">
                  <c:v>12.98</c:v>
                </c:pt>
                <c:pt idx="87">
                  <c:v>6.460000000000001</c:v>
                </c:pt>
                <c:pt idx="88">
                  <c:v>16.07</c:v>
                </c:pt>
                <c:pt idx="89">
                  <c:v>16.6</c:v>
                </c:pt>
                <c:pt idx="90">
                  <c:v>13.09</c:v>
                </c:pt>
                <c:pt idx="91">
                  <c:v>7.05</c:v>
                </c:pt>
                <c:pt idx="92">
                  <c:v>10.65</c:v>
                </c:pt>
                <c:pt idx="93">
                  <c:v>19.79</c:v>
                </c:pt>
                <c:pt idx="94">
                  <c:v>10.5</c:v>
                </c:pt>
                <c:pt idx="95">
                  <c:v>15.07</c:v>
                </c:pt>
                <c:pt idx="96">
                  <c:v>13.19</c:v>
                </c:pt>
                <c:pt idx="97">
                  <c:v>8.74</c:v>
                </c:pt>
                <c:pt idx="98">
                  <c:v>3.74</c:v>
                </c:pt>
                <c:pt idx="99">
                  <c:v>7.319999999999998</c:v>
                </c:pt>
                <c:pt idx="100">
                  <c:v>10.82</c:v>
                </c:pt>
                <c:pt idx="101">
                  <c:v>20.67</c:v>
                </c:pt>
                <c:pt idx="102">
                  <c:v>6.48</c:v>
                </c:pt>
                <c:pt idx="103">
                  <c:v>7.609999999999998</c:v>
                </c:pt>
                <c:pt idx="104">
                  <c:v>11.28</c:v>
                </c:pt>
                <c:pt idx="105">
                  <c:v>9.24</c:v>
                </c:pt>
                <c:pt idx="106">
                  <c:v>11.96</c:v>
                </c:pt>
                <c:pt idx="107">
                  <c:v>10.87000000000001</c:v>
                </c:pt>
                <c:pt idx="108">
                  <c:v>13.31</c:v>
                </c:pt>
                <c:pt idx="109">
                  <c:v>7.470000000000002</c:v>
                </c:pt>
                <c:pt idx="110">
                  <c:v>15.15</c:v>
                </c:pt>
                <c:pt idx="111">
                  <c:v>11.37000000000001</c:v>
                </c:pt>
                <c:pt idx="112">
                  <c:v>8.08</c:v>
                </c:pt>
                <c:pt idx="113">
                  <c:v>12.03</c:v>
                </c:pt>
                <c:pt idx="114">
                  <c:v>7.359999999999998</c:v>
                </c:pt>
                <c:pt idx="115">
                  <c:v>10.32</c:v>
                </c:pt>
                <c:pt idx="116">
                  <c:v>16.79</c:v>
                </c:pt>
                <c:pt idx="117">
                  <c:v>6.970000000000002</c:v>
                </c:pt>
                <c:pt idx="118">
                  <c:v>12.12</c:v>
                </c:pt>
                <c:pt idx="119">
                  <c:v>16.53</c:v>
                </c:pt>
                <c:pt idx="120">
                  <c:v>16.45</c:v>
                </c:pt>
                <c:pt idx="121">
                  <c:v>12.16</c:v>
                </c:pt>
                <c:pt idx="122">
                  <c:v>10.58</c:v>
                </c:pt>
                <c:pt idx="123">
                  <c:v>10.66</c:v>
                </c:pt>
                <c:pt idx="124">
                  <c:v>14.15</c:v>
                </c:pt>
                <c:pt idx="125">
                  <c:v>15.17</c:v>
                </c:pt>
                <c:pt idx="126">
                  <c:v>13.46</c:v>
                </c:pt>
                <c:pt idx="127">
                  <c:v>8.6</c:v>
                </c:pt>
                <c:pt idx="128">
                  <c:v>21.62</c:v>
                </c:pt>
                <c:pt idx="129">
                  <c:v>9.9</c:v>
                </c:pt>
                <c:pt idx="130">
                  <c:v>13.49</c:v>
                </c:pt>
                <c:pt idx="131">
                  <c:v>12.59</c:v>
                </c:pt>
                <c:pt idx="132">
                  <c:v>15.11</c:v>
                </c:pt>
                <c:pt idx="133">
                  <c:v>14.09</c:v>
                </c:pt>
                <c:pt idx="134">
                  <c:v>16.59</c:v>
                </c:pt>
                <c:pt idx="135">
                  <c:v>17.17000000000001</c:v>
                </c:pt>
                <c:pt idx="136">
                  <c:v>13.29</c:v>
                </c:pt>
                <c:pt idx="137">
                  <c:v>15.33</c:v>
                </c:pt>
                <c:pt idx="138">
                  <c:v>9.69</c:v>
                </c:pt>
                <c:pt idx="139">
                  <c:v>17.63000000000003</c:v>
                </c:pt>
                <c:pt idx="140">
                  <c:v>20.37</c:v>
                </c:pt>
                <c:pt idx="141">
                  <c:v>20.13000000000003</c:v>
                </c:pt>
                <c:pt idx="142">
                  <c:v>17.64</c:v>
                </c:pt>
                <c:pt idx="143">
                  <c:v>17.54</c:v>
                </c:pt>
                <c:pt idx="144">
                  <c:v>10.72</c:v>
                </c:pt>
                <c:pt idx="145">
                  <c:v>9.66</c:v>
                </c:pt>
                <c:pt idx="146">
                  <c:v>6.770000000000001</c:v>
                </c:pt>
                <c:pt idx="147">
                  <c:v>10.44</c:v>
                </c:pt>
                <c:pt idx="148">
                  <c:v>18.68</c:v>
                </c:pt>
                <c:pt idx="149">
                  <c:v>25.1</c:v>
                </c:pt>
                <c:pt idx="150">
                  <c:v>10.81</c:v>
                </c:pt>
                <c:pt idx="151">
                  <c:v>17.47</c:v>
                </c:pt>
                <c:pt idx="152">
                  <c:v>20.91</c:v>
                </c:pt>
                <c:pt idx="153">
                  <c:v>30.35</c:v>
                </c:pt>
                <c:pt idx="154">
                  <c:v>15.3</c:v>
                </c:pt>
                <c:pt idx="155">
                  <c:v>8.94</c:v>
                </c:pt>
                <c:pt idx="156">
                  <c:v>21.36</c:v>
                </c:pt>
                <c:pt idx="157">
                  <c:v>11.76</c:v>
                </c:pt>
                <c:pt idx="158">
                  <c:v>20.25</c:v>
                </c:pt>
                <c:pt idx="159">
                  <c:v>16.98999999999996</c:v>
                </c:pt>
                <c:pt idx="160">
                  <c:v>19.45999999999999</c:v>
                </c:pt>
                <c:pt idx="161">
                  <c:v>19.31</c:v>
                </c:pt>
                <c:pt idx="162">
                  <c:v>15.87000000000001</c:v>
                </c:pt>
                <c:pt idx="163">
                  <c:v>16.11000000000003</c:v>
                </c:pt>
                <c:pt idx="164">
                  <c:v>22.16</c:v>
                </c:pt>
                <c:pt idx="165">
                  <c:v>9.720000000000002</c:v>
                </c:pt>
                <c:pt idx="166">
                  <c:v>13.72</c:v>
                </c:pt>
                <c:pt idx="167">
                  <c:v>18.64</c:v>
                </c:pt>
                <c:pt idx="168">
                  <c:v>16.07</c:v>
                </c:pt>
                <c:pt idx="169">
                  <c:v>17.03</c:v>
                </c:pt>
                <c:pt idx="170">
                  <c:v>19.1</c:v>
                </c:pt>
                <c:pt idx="171">
                  <c:v>19.72</c:v>
                </c:pt>
                <c:pt idx="172">
                  <c:v>25.39</c:v>
                </c:pt>
                <c:pt idx="173">
                  <c:v>10.23</c:v>
                </c:pt>
                <c:pt idx="174">
                  <c:v>22.32</c:v>
                </c:pt>
                <c:pt idx="175">
                  <c:v>23.71</c:v>
                </c:pt>
                <c:pt idx="176">
                  <c:v>23.01</c:v>
                </c:pt>
                <c:pt idx="177">
                  <c:v>13.68</c:v>
                </c:pt>
                <c:pt idx="178">
                  <c:v>30.91</c:v>
                </c:pt>
                <c:pt idx="179">
                  <c:v>21.65000000000003</c:v>
                </c:pt>
                <c:pt idx="180">
                  <c:v>15.23</c:v>
                </c:pt>
                <c:pt idx="181">
                  <c:v>45.36</c:v>
                </c:pt>
                <c:pt idx="182">
                  <c:v>13.04</c:v>
                </c:pt>
                <c:pt idx="183">
                  <c:v>18.55</c:v>
                </c:pt>
                <c:pt idx="184">
                  <c:v>49.19000000000001</c:v>
                </c:pt>
              </c:numCache>
            </c:numRef>
          </c:xVal>
          <c:yVal>
            <c:numRef>
              <c:f>Sheet1!$E$2:$E$187</c:f>
              <c:numCache>
                <c:formatCode>General</c:formatCode>
                <c:ptCount val="186"/>
                <c:pt idx="0">
                  <c:v>49.88</c:v>
                </c:pt>
                <c:pt idx="1">
                  <c:v>66.36</c:v>
                </c:pt>
                <c:pt idx="2">
                  <c:v>88.81</c:v>
                </c:pt>
                <c:pt idx="3">
                  <c:v>84.81</c:v>
                </c:pt>
                <c:pt idx="4">
                  <c:v>76.95</c:v>
                </c:pt>
                <c:pt idx="5">
                  <c:v>69.31</c:v>
                </c:pt>
                <c:pt idx="6">
                  <c:v>56.8</c:v>
                </c:pt>
                <c:pt idx="7">
                  <c:v>68.61</c:v>
                </c:pt>
                <c:pt idx="8">
                  <c:v>21.38</c:v>
                </c:pt>
                <c:pt idx="9">
                  <c:v>45.91</c:v>
                </c:pt>
                <c:pt idx="10">
                  <c:v>45.14</c:v>
                </c:pt>
                <c:pt idx="11">
                  <c:v>62.73000000000001</c:v>
                </c:pt>
                <c:pt idx="12">
                  <c:v>67.12</c:v>
                </c:pt>
                <c:pt idx="13">
                  <c:v>28.47</c:v>
                </c:pt>
                <c:pt idx="14">
                  <c:v>55.09</c:v>
                </c:pt>
                <c:pt idx="15">
                  <c:v>86.3</c:v>
                </c:pt>
                <c:pt idx="16">
                  <c:v>85.75</c:v>
                </c:pt>
                <c:pt idx="17">
                  <c:v>52.16000000000001</c:v>
                </c:pt>
                <c:pt idx="18">
                  <c:v>83.55</c:v>
                </c:pt>
                <c:pt idx="19">
                  <c:v>86.11</c:v>
                </c:pt>
                <c:pt idx="20">
                  <c:v>69.65</c:v>
                </c:pt>
                <c:pt idx="21">
                  <c:v>46.63</c:v>
                </c:pt>
                <c:pt idx="22">
                  <c:v>77.83</c:v>
                </c:pt>
                <c:pt idx="23">
                  <c:v>31.43999999999999</c:v>
                </c:pt>
                <c:pt idx="24">
                  <c:v>46.57</c:v>
                </c:pt>
                <c:pt idx="25">
                  <c:v>62.38</c:v>
                </c:pt>
                <c:pt idx="26">
                  <c:v>81.58</c:v>
                </c:pt>
                <c:pt idx="27">
                  <c:v>64.53</c:v>
                </c:pt>
                <c:pt idx="28">
                  <c:v>70.28</c:v>
                </c:pt>
                <c:pt idx="29">
                  <c:v>86.54</c:v>
                </c:pt>
                <c:pt idx="30">
                  <c:v>24.81000000000003</c:v>
                </c:pt>
                <c:pt idx="31">
                  <c:v>56.59</c:v>
                </c:pt>
                <c:pt idx="32">
                  <c:v>19.69</c:v>
                </c:pt>
                <c:pt idx="33">
                  <c:v>77.19</c:v>
                </c:pt>
                <c:pt idx="34">
                  <c:v>61.7</c:v>
                </c:pt>
                <c:pt idx="35">
                  <c:v>70.7</c:v>
                </c:pt>
                <c:pt idx="36">
                  <c:v>69.31</c:v>
                </c:pt>
                <c:pt idx="37">
                  <c:v>47.16000000000001</c:v>
                </c:pt>
                <c:pt idx="38">
                  <c:v>92.36</c:v>
                </c:pt>
                <c:pt idx="39">
                  <c:v>70.14</c:v>
                </c:pt>
                <c:pt idx="40">
                  <c:v>59.15</c:v>
                </c:pt>
                <c:pt idx="41">
                  <c:v>42.71</c:v>
                </c:pt>
                <c:pt idx="42">
                  <c:v>88.22</c:v>
                </c:pt>
                <c:pt idx="43">
                  <c:v>95.84</c:v>
                </c:pt>
                <c:pt idx="44">
                  <c:v>38.86</c:v>
                </c:pt>
                <c:pt idx="45">
                  <c:v>24.22</c:v>
                </c:pt>
                <c:pt idx="46">
                  <c:v>73.17999999999998</c:v>
                </c:pt>
                <c:pt idx="47">
                  <c:v>54.3</c:v>
                </c:pt>
                <c:pt idx="48">
                  <c:v>56.94</c:v>
                </c:pt>
                <c:pt idx="49">
                  <c:v>73.98</c:v>
                </c:pt>
                <c:pt idx="50">
                  <c:v>82.99000000000002</c:v>
                </c:pt>
                <c:pt idx="51">
                  <c:v>60.99</c:v>
                </c:pt>
                <c:pt idx="52">
                  <c:v>88.05</c:v>
                </c:pt>
                <c:pt idx="53">
                  <c:v>81.61</c:v>
                </c:pt>
                <c:pt idx="54">
                  <c:v>57.42</c:v>
                </c:pt>
                <c:pt idx="55">
                  <c:v>23.0</c:v>
                </c:pt>
                <c:pt idx="56">
                  <c:v>62.63</c:v>
                </c:pt>
                <c:pt idx="57">
                  <c:v>74.21</c:v>
                </c:pt>
                <c:pt idx="58">
                  <c:v>53.28</c:v>
                </c:pt>
                <c:pt idx="59">
                  <c:v>68.86</c:v>
                </c:pt>
                <c:pt idx="60">
                  <c:v>88.4</c:v>
                </c:pt>
                <c:pt idx="61">
                  <c:v>40.81</c:v>
                </c:pt>
                <c:pt idx="62">
                  <c:v>85.45</c:v>
                </c:pt>
                <c:pt idx="63">
                  <c:v>84.99000000000002</c:v>
                </c:pt>
                <c:pt idx="64">
                  <c:v>42.7</c:v>
                </c:pt>
                <c:pt idx="65">
                  <c:v>57.04</c:v>
                </c:pt>
                <c:pt idx="66">
                  <c:v>88.78</c:v>
                </c:pt>
                <c:pt idx="67">
                  <c:v>73.15</c:v>
                </c:pt>
                <c:pt idx="68">
                  <c:v>85.1</c:v>
                </c:pt>
                <c:pt idx="69">
                  <c:v>8.42</c:v>
                </c:pt>
                <c:pt idx="70">
                  <c:v>8.99</c:v>
                </c:pt>
                <c:pt idx="71">
                  <c:v>34.93</c:v>
                </c:pt>
                <c:pt idx="72">
                  <c:v>58.46</c:v>
                </c:pt>
                <c:pt idx="73">
                  <c:v>58.84</c:v>
                </c:pt>
                <c:pt idx="74">
                  <c:v>26.72</c:v>
                </c:pt>
                <c:pt idx="75">
                  <c:v>56.54</c:v>
                </c:pt>
                <c:pt idx="76">
                  <c:v>86.72</c:v>
                </c:pt>
                <c:pt idx="77">
                  <c:v>44.04</c:v>
                </c:pt>
                <c:pt idx="78">
                  <c:v>44.96</c:v>
                </c:pt>
                <c:pt idx="79">
                  <c:v>73.4</c:v>
                </c:pt>
                <c:pt idx="80">
                  <c:v>77.0</c:v>
                </c:pt>
                <c:pt idx="81">
                  <c:v>43.13</c:v>
                </c:pt>
                <c:pt idx="82">
                  <c:v>67.51</c:v>
                </c:pt>
                <c:pt idx="83">
                  <c:v>39.33</c:v>
                </c:pt>
                <c:pt idx="84">
                  <c:v>58.85</c:v>
                </c:pt>
                <c:pt idx="85">
                  <c:v>70.84</c:v>
                </c:pt>
                <c:pt idx="86">
                  <c:v>77.71000000000002</c:v>
                </c:pt>
                <c:pt idx="87">
                  <c:v>45.31</c:v>
                </c:pt>
                <c:pt idx="88">
                  <c:v>16.07</c:v>
                </c:pt>
                <c:pt idx="89">
                  <c:v>75.98</c:v>
                </c:pt>
                <c:pt idx="90">
                  <c:v>64.56</c:v>
                </c:pt>
                <c:pt idx="91">
                  <c:v>83.79</c:v>
                </c:pt>
                <c:pt idx="92">
                  <c:v>75.96</c:v>
                </c:pt>
                <c:pt idx="93">
                  <c:v>89.44000000000002</c:v>
                </c:pt>
                <c:pt idx="94">
                  <c:v>80.14</c:v>
                </c:pt>
                <c:pt idx="95">
                  <c:v>25.4</c:v>
                </c:pt>
                <c:pt idx="96">
                  <c:v>62.5</c:v>
                </c:pt>
                <c:pt idx="97">
                  <c:v>40.02</c:v>
                </c:pt>
                <c:pt idx="98">
                  <c:v>38.06</c:v>
                </c:pt>
                <c:pt idx="99">
                  <c:v>69.72</c:v>
                </c:pt>
                <c:pt idx="100">
                  <c:v>66.57</c:v>
                </c:pt>
                <c:pt idx="101">
                  <c:v>84.65</c:v>
                </c:pt>
                <c:pt idx="102">
                  <c:v>74.71</c:v>
                </c:pt>
                <c:pt idx="103">
                  <c:v>50.57000000000001</c:v>
                </c:pt>
                <c:pt idx="104">
                  <c:v>67.88</c:v>
                </c:pt>
                <c:pt idx="105">
                  <c:v>83.57</c:v>
                </c:pt>
                <c:pt idx="106">
                  <c:v>17.22</c:v>
                </c:pt>
                <c:pt idx="107">
                  <c:v>35.61</c:v>
                </c:pt>
                <c:pt idx="108">
                  <c:v>74.99</c:v>
                </c:pt>
                <c:pt idx="109">
                  <c:v>45.27</c:v>
                </c:pt>
                <c:pt idx="110">
                  <c:v>44.4</c:v>
                </c:pt>
                <c:pt idx="111">
                  <c:v>88.03</c:v>
                </c:pt>
                <c:pt idx="112">
                  <c:v>32.56</c:v>
                </c:pt>
                <c:pt idx="113">
                  <c:v>89.67999999999998</c:v>
                </c:pt>
                <c:pt idx="114">
                  <c:v>81.76</c:v>
                </c:pt>
                <c:pt idx="115">
                  <c:v>40.82</c:v>
                </c:pt>
                <c:pt idx="116">
                  <c:v>26.23</c:v>
                </c:pt>
                <c:pt idx="117">
                  <c:v>62.9</c:v>
                </c:pt>
                <c:pt idx="118">
                  <c:v>63.52</c:v>
                </c:pt>
                <c:pt idx="119">
                  <c:v>64.76</c:v>
                </c:pt>
                <c:pt idx="120">
                  <c:v>78.47</c:v>
                </c:pt>
                <c:pt idx="121">
                  <c:v>60.28</c:v>
                </c:pt>
                <c:pt idx="122">
                  <c:v>69.58</c:v>
                </c:pt>
                <c:pt idx="123">
                  <c:v>46.74</c:v>
                </c:pt>
                <c:pt idx="124">
                  <c:v>80.15</c:v>
                </c:pt>
                <c:pt idx="125">
                  <c:v>60.57</c:v>
                </c:pt>
                <c:pt idx="126">
                  <c:v>74.49</c:v>
                </c:pt>
                <c:pt idx="127">
                  <c:v>58.22000000000001</c:v>
                </c:pt>
                <c:pt idx="128">
                  <c:v>56.72000000000001</c:v>
                </c:pt>
                <c:pt idx="129">
                  <c:v>48.78</c:v>
                </c:pt>
                <c:pt idx="130">
                  <c:v>25.31000000000003</c:v>
                </c:pt>
                <c:pt idx="131">
                  <c:v>69.5</c:v>
                </c:pt>
                <c:pt idx="132">
                  <c:v>29.6</c:v>
                </c:pt>
                <c:pt idx="133">
                  <c:v>84.9</c:v>
                </c:pt>
                <c:pt idx="134">
                  <c:v>43.42</c:v>
                </c:pt>
                <c:pt idx="135">
                  <c:v>65.82</c:v>
                </c:pt>
                <c:pt idx="136">
                  <c:v>36.02</c:v>
                </c:pt>
                <c:pt idx="137">
                  <c:v>59.05</c:v>
                </c:pt>
                <c:pt idx="138">
                  <c:v>72.27</c:v>
                </c:pt>
                <c:pt idx="139">
                  <c:v>27.91</c:v>
                </c:pt>
                <c:pt idx="140">
                  <c:v>47.89</c:v>
                </c:pt>
                <c:pt idx="141">
                  <c:v>60.75</c:v>
                </c:pt>
                <c:pt idx="142">
                  <c:v>70.62</c:v>
                </c:pt>
                <c:pt idx="143">
                  <c:v>42.98</c:v>
                </c:pt>
                <c:pt idx="144">
                  <c:v>56.39</c:v>
                </c:pt>
                <c:pt idx="145">
                  <c:v>76.6</c:v>
                </c:pt>
                <c:pt idx="146">
                  <c:v>77.71</c:v>
                </c:pt>
                <c:pt idx="147">
                  <c:v>77.29</c:v>
                </c:pt>
                <c:pt idx="148">
                  <c:v>36.75</c:v>
                </c:pt>
                <c:pt idx="149">
                  <c:v>42.14</c:v>
                </c:pt>
                <c:pt idx="150">
                  <c:v>27.6</c:v>
                </c:pt>
                <c:pt idx="151">
                  <c:v>35.89</c:v>
                </c:pt>
                <c:pt idx="152">
                  <c:v>42.39</c:v>
                </c:pt>
                <c:pt idx="153">
                  <c:v>72.4</c:v>
                </c:pt>
                <c:pt idx="154">
                  <c:v>50.17</c:v>
                </c:pt>
                <c:pt idx="155">
                  <c:v>59.45</c:v>
                </c:pt>
                <c:pt idx="156">
                  <c:v>67.47999999999998</c:v>
                </c:pt>
                <c:pt idx="157">
                  <c:v>28.51</c:v>
                </c:pt>
                <c:pt idx="158">
                  <c:v>71.64</c:v>
                </c:pt>
                <c:pt idx="159">
                  <c:v>24.95999999999999</c:v>
                </c:pt>
                <c:pt idx="160">
                  <c:v>34.94</c:v>
                </c:pt>
                <c:pt idx="161">
                  <c:v>14.97</c:v>
                </c:pt>
                <c:pt idx="162">
                  <c:v>24.43999999999999</c:v>
                </c:pt>
                <c:pt idx="163">
                  <c:v>3.2</c:v>
                </c:pt>
                <c:pt idx="164">
                  <c:v>80.12</c:v>
                </c:pt>
                <c:pt idx="165">
                  <c:v>51.41</c:v>
                </c:pt>
                <c:pt idx="166">
                  <c:v>50.27</c:v>
                </c:pt>
                <c:pt idx="167">
                  <c:v>63.46000000000001</c:v>
                </c:pt>
                <c:pt idx="168">
                  <c:v>32.33</c:v>
                </c:pt>
                <c:pt idx="169">
                  <c:v>54.41</c:v>
                </c:pt>
                <c:pt idx="170">
                  <c:v>22.53</c:v>
                </c:pt>
                <c:pt idx="171">
                  <c:v>61.11</c:v>
                </c:pt>
                <c:pt idx="172">
                  <c:v>54.01000000000001</c:v>
                </c:pt>
                <c:pt idx="173">
                  <c:v>89.59</c:v>
                </c:pt>
                <c:pt idx="174">
                  <c:v>37.13</c:v>
                </c:pt>
                <c:pt idx="175">
                  <c:v>36.73000000000001</c:v>
                </c:pt>
                <c:pt idx="176">
                  <c:v>50.47000000000001</c:v>
                </c:pt>
                <c:pt idx="177">
                  <c:v>29.36</c:v>
                </c:pt>
                <c:pt idx="178">
                  <c:v>35.82</c:v>
                </c:pt>
                <c:pt idx="179">
                  <c:v>28.91</c:v>
                </c:pt>
                <c:pt idx="180">
                  <c:v>30.27</c:v>
                </c:pt>
                <c:pt idx="181">
                  <c:v>65.64</c:v>
                </c:pt>
                <c:pt idx="182">
                  <c:v>51.6</c:v>
                </c:pt>
                <c:pt idx="183">
                  <c:v>49.36</c:v>
                </c:pt>
                <c:pt idx="184">
                  <c:v>44.86</c:v>
                </c:pt>
                <c:pt idx="185">
                  <c:v>20.61000000000003</c:v>
                </c:pt>
              </c:numCache>
            </c:numRef>
          </c:yVal>
        </c:ser>
        <c:axId val="606152600"/>
        <c:axId val="606178312"/>
      </c:scatterChart>
      <c:valAx>
        <c:axId val="606152600"/>
        <c:scaling>
          <c:orientation val="minMax"/>
          <c:max val="50.0"/>
        </c:scaling>
        <c:axPos val="b"/>
        <c:title>
          <c:tx>
            <c:rich>
              <a:bodyPr/>
              <a:lstStyle/>
              <a:p>
                <a:pPr>
                  <a:defRPr/>
                </a:pPr>
                <a:r>
                  <a:rPr lang="en-US" altLang="ja-JP"/>
                  <a:t>ROE</a:t>
                </a:r>
                <a:endParaRPr lang="ja-JP" altLang="en-US"/>
              </a:p>
            </c:rich>
          </c:tx>
          <c:layout/>
        </c:title>
        <c:numFmt formatCode="General" sourceLinked="1"/>
        <c:tickLblPos val="nextTo"/>
        <c:crossAx val="606178312"/>
        <c:crosses val="autoZero"/>
        <c:crossBetween val="midCat"/>
      </c:valAx>
      <c:valAx>
        <c:axId val="606178312"/>
        <c:scaling>
          <c:orientation val="minMax"/>
          <c:max val="100.0"/>
        </c:scaling>
        <c:axPos val="l"/>
        <c:majorGridlines/>
        <c:title>
          <c:tx>
            <c:rich>
              <a:bodyPr rot="-5400000" vert="horz"/>
              <a:lstStyle/>
              <a:p>
                <a:pPr>
                  <a:defRPr/>
                </a:pPr>
                <a:r>
                  <a:rPr lang="ja-JP" altLang="en-US"/>
                  <a:t>自己資本比率</a:t>
                </a:r>
              </a:p>
            </c:rich>
          </c:tx>
          <c:layout>
            <c:manualLayout>
              <c:xMode val="edge"/>
              <c:yMode val="edge"/>
              <c:x val="0.0305555555555556"/>
              <c:y val="0.36139253426655"/>
            </c:manualLayout>
          </c:layout>
        </c:title>
        <c:numFmt formatCode="General" sourceLinked="1"/>
        <c:tickLblPos val="nextTo"/>
        <c:crossAx val="606152600"/>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style val="2"/>
  <c:chart>
    <c:title>
      <c:tx>
        <c:rich>
          <a:bodyPr/>
          <a:lstStyle/>
          <a:p>
            <a:pPr>
              <a:defRPr/>
            </a:pPr>
            <a:r>
              <a:rPr lang="ja-JP" altLang="en-US"/>
              <a:t>中部：</a:t>
            </a:r>
            <a:r>
              <a:rPr lang="en-US" altLang="ja-JP"/>
              <a:t>ROE</a:t>
            </a:r>
            <a:r>
              <a:rPr lang="ja-JP" altLang="en-US"/>
              <a:t>と自己資本率</a:t>
            </a:r>
          </a:p>
        </c:rich>
      </c:tx>
      <c:layout/>
    </c:title>
    <c:plotArea>
      <c:layout/>
      <c:scatterChart>
        <c:scatterStyle val="lineMarker"/>
        <c:ser>
          <c:idx val="0"/>
          <c:order val="0"/>
          <c:tx>
            <c:strRef>
              <c:f>Sheet1!$E$1</c:f>
              <c:strCache>
                <c:ptCount val="1"/>
                <c:pt idx="0">
                  <c:v>自己資本率</c:v>
                </c:pt>
              </c:strCache>
            </c:strRef>
          </c:tx>
          <c:spPr>
            <a:ln w="28575">
              <a:noFill/>
            </a:ln>
          </c:spPr>
          <c:xVal>
            <c:numRef>
              <c:f>Sheet1!$D$2:$D$37</c:f>
              <c:numCache>
                <c:formatCode>General</c:formatCode>
                <c:ptCount val="36"/>
                <c:pt idx="0">
                  <c:v>13.07</c:v>
                </c:pt>
                <c:pt idx="1">
                  <c:v>13.99</c:v>
                </c:pt>
                <c:pt idx="2">
                  <c:v>15.83</c:v>
                </c:pt>
                <c:pt idx="3">
                  <c:v>23.45999999999999</c:v>
                </c:pt>
                <c:pt idx="4">
                  <c:v>12.01</c:v>
                </c:pt>
                <c:pt idx="5">
                  <c:v>12.26</c:v>
                </c:pt>
                <c:pt idx="6">
                  <c:v>14.15</c:v>
                </c:pt>
                <c:pt idx="7">
                  <c:v>11.59</c:v>
                </c:pt>
                <c:pt idx="8">
                  <c:v>12.04</c:v>
                </c:pt>
                <c:pt idx="9">
                  <c:v>11.28</c:v>
                </c:pt>
                <c:pt idx="10">
                  <c:v>8.15</c:v>
                </c:pt>
                <c:pt idx="11">
                  <c:v>14.49</c:v>
                </c:pt>
                <c:pt idx="12">
                  <c:v>16.21</c:v>
                </c:pt>
                <c:pt idx="13">
                  <c:v>14.87000000000001</c:v>
                </c:pt>
                <c:pt idx="14">
                  <c:v>12.71</c:v>
                </c:pt>
                <c:pt idx="15">
                  <c:v>8.02</c:v>
                </c:pt>
                <c:pt idx="16">
                  <c:v>7.930000000000002</c:v>
                </c:pt>
                <c:pt idx="17">
                  <c:v>7.729999999999999</c:v>
                </c:pt>
                <c:pt idx="18">
                  <c:v>5.109999999999999</c:v>
                </c:pt>
                <c:pt idx="19">
                  <c:v>15.26</c:v>
                </c:pt>
                <c:pt idx="20">
                  <c:v>9.239999999999998</c:v>
                </c:pt>
                <c:pt idx="21">
                  <c:v>6.58</c:v>
                </c:pt>
                <c:pt idx="22">
                  <c:v>10.56</c:v>
                </c:pt>
                <c:pt idx="23">
                  <c:v>10.22</c:v>
                </c:pt>
                <c:pt idx="24">
                  <c:v>15.98</c:v>
                </c:pt>
                <c:pt idx="25">
                  <c:v>11.33</c:v>
                </c:pt>
                <c:pt idx="26">
                  <c:v>11.22</c:v>
                </c:pt>
                <c:pt idx="27">
                  <c:v>6.05</c:v>
                </c:pt>
                <c:pt idx="28">
                  <c:v>18.74</c:v>
                </c:pt>
                <c:pt idx="29">
                  <c:v>4.159999999999997</c:v>
                </c:pt>
                <c:pt idx="30">
                  <c:v>13.69</c:v>
                </c:pt>
                <c:pt idx="31">
                  <c:v>10.34</c:v>
                </c:pt>
                <c:pt idx="32">
                  <c:v>4.64</c:v>
                </c:pt>
                <c:pt idx="33">
                  <c:v>2.67</c:v>
                </c:pt>
                <c:pt idx="34">
                  <c:v>4.1</c:v>
                </c:pt>
                <c:pt idx="35">
                  <c:v>1.44</c:v>
                </c:pt>
              </c:numCache>
            </c:numRef>
          </c:xVal>
          <c:yVal>
            <c:numRef>
              <c:f>Sheet1!$E$2:$E$37</c:f>
              <c:numCache>
                <c:formatCode>General</c:formatCode>
                <c:ptCount val="36"/>
                <c:pt idx="0">
                  <c:v>75.97</c:v>
                </c:pt>
                <c:pt idx="1">
                  <c:v>58.59</c:v>
                </c:pt>
                <c:pt idx="2">
                  <c:v>59.37</c:v>
                </c:pt>
                <c:pt idx="3">
                  <c:v>35.32</c:v>
                </c:pt>
                <c:pt idx="4">
                  <c:v>36.57</c:v>
                </c:pt>
                <c:pt idx="5">
                  <c:v>74.72</c:v>
                </c:pt>
                <c:pt idx="6">
                  <c:v>48.31</c:v>
                </c:pt>
                <c:pt idx="7">
                  <c:v>22.51</c:v>
                </c:pt>
                <c:pt idx="8">
                  <c:v>38.49</c:v>
                </c:pt>
                <c:pt idx="9">
                  <c:v>59.29000000000001</c:v>
                </c:pt>
                <c:pt idx="10">
                  <c:v>72.15</c:v>
                </c:pt>
                <c:pt idx="11">
                  <c:v>36.57</c:v>
                </c:pt>
                <c:pt idx="12">
                  <c:v>70.78</c:v>
                </c:pt>
                <c:pt idx="13">
                  <c:v>81.9</c:v>
                </c:pt>
                <c:pt idx="14">
                  <c:v>55.11000000000001</c:v>
                </c:pt>
                <c:pt idx="15">
                  <c:v>82.51</c:v>
                </c:pt>
                <c:pt idx="16">
                  <c:v>74.44000000000002</c:v>
                </c:pt>
                <c:pt idx="17">
                  <c:v>69.41000000000002</c:v>
                </c:pt>
                <c:pt idx="18">
                  <c:v>47.11</c:v>
                </c:pt>
                <c:pt idx="19">
                  <c:v>56.98</c:v>
                </c:pt>
                <c:pt idx="20">
                  <c:v>85.07</c:v>
                </c:pt>
                <c:pt idx="21">
                  <c:v>86.98</c:v>
                </c:pt>
                <c:pt idx="22">
                  <c:v>32.32</c:v>
                </c:pt>
                <c:pt idx="23">
                  <c:v>83.17999999999998</c:v>
                </c:pt>
                <c:pt idx="24">
                  <c:v>46.82</c:v>
                </c:pt>
                <c:pt idx="25">
                  <c:v>34.31</c:v>
                </c:pt>
                <c:pt idx="26">
                  <c:v>68.99</c:v>
                </c:pt>
                <c:pt idx="27">
                  <c:v>46.04</c:v>
                </c:pt>
                <c:pt idx="28">
                  <c:v>17.77</c:v>
                </c:pt>
                <c:pt idx="29">
                  <c:v>39.26000000000001</c:v>
                </c:pt>
                <c:pt idx="30">
                  <c:v>77.7</c:v>
                </c:pt>
                <c:pt idx="31">
                  <c:v>86.77</c:v>
                </c:pt>
                <c:pt idx="32">
                  <c:v>84.38</c:v>
                </c:pt>
                <c:pt idx="33">
                  <c:v>90.57</c:v>
                </c:pt>
                <c:pt idx="34">
                  <c:v>30.39</c:v>
                </c:pt>
                <c:pt idx="35">
                  <c:v>86.04</c:v>
                </c:pt>
              </c:numCache>
            </c:numRef>
          </c:yVal>
        </c:ser>
        <c:axId val="607681656"/>
        <c:axId val="607009928"/>
      </c:scatterChart>
      <c:valAx>
        <c:axId val="607681656"/>
        <c:scaling>
          <c:orientation val="minMax"/>
          <c:max val="50.0"/>
        </c:scaling>
        <c:axPos val="b"/>
        <c:title>
          <c:tx>
            <c:rich>
              <a:bodyPr/>
              <a:lstStyle/>
              <a:p>
                <a:pPr>
                  <a:defRPr/>
                </a:pPr>
                <a:r>
                  <a:rPr lang="en-US" altLang="ja-JP"/>
                  <a:t>ROE</a:t>
                </a:r>
                <a:endParaRPr lang="ja-JP" altLang="en-US"/>
              </a:p>
            </c:rich>
          </c:tx>
          <c:layout/>
        </c:title>
        <c:numFmt formatCode="General" sourceLinked="1"/>
        <c:tickLblPos val="nextTo"/>
        <c:crossAx val="607009928"/>
        <c:crosses val="autoZero"/>
        <c:crossBetween val="midCat"/>
      </c:valAx>
      <c:valAx>
        <c:axId val="607009928"/>
        <c:scaling>
          <c:orientation val="minMax"/>
        </c:scaling>
        <c:axPos val="l"/>
        <c:majorGridlines/>
        <c:title>
          <c:tx>
            <c:rich>
              <a:bodyPr rot="-5400000" vert="horz"/>
              <a:lstStyle/>
              <a:p>
                <a:pPr>
                  <a:defRPr/>
                </a:pPr>
                <a:r>
                  <a:rPr lang="ja-JP" altLang="en-US"/>
                  <a:t>自己資本比率</a:t>
                </a:r>
              </a:p>
            </c:rich>
          </c:tx>
          <c:layout/>
        </c:title>
        <c:numFmt formatCode="General" sourceLinked="1"/>
        <c:tickLblPos val="nextTo"/>
        <c:crossAx val="607681656"/>
        <c:crosses val="autoZero"/>
        <c:crossBetween val="midCat"/>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全世界での自然エネルギー投資額</a:t>
            </a:r>
          </a:p>
        </c:rich>
      </c:tx>
      <c:layout/>
    </c:title>
    <c:plotArea>
      <c:layout>
        <c:manualLayout>
          <c:layoutTarget val="inner"/>
          <c:xMode val="edge"/>
          <c:yMode val="edge"/>
          <c:x val="0.163696429792981"/>
          <c:y val="0.175135290141538"/>
          <c:w val="0.805771794977709"/>
          <c:h val="0.594403637778825"/>
        </c:manualLayout>
      </c:layout>
      <c:barChart>
        <c:barDir val="col"/>
        <c:grouping val="stacked"/>
        <c:ser>
          <c:idx val="0"/>
          <c:order val="0"/>
          <c:dLbls>
            <c:showVal val="1"/>
          </c:dLbls>
          <c:cat>
            <c:strRef>
              <c:f>Sheet1!$B$3:$B$6</c:f>
              <c:strCache>
                <c:ptCount val="4"/>
                <c:pt idx="0">
                  <c:v>2004</c:v>
                </c:pt>
                <c:pt idx="1">
                  <c:v>2005</c:v>
                </c:pt>
                <c:pt idx="2">
                  <c:v>2006</c:v>
                </c:pt>
                <c:pt idx="3">
                  <c:v>2007（予想）</c:v>
                </c:pt>
              </c:strCache>
            </c:strRef>
          </c:cat>
          <c:val>
            <c:numRef>
              <c:f>Sheet1!$C$3:$C$6</c:f>
              <c:numCache>
                <c:formatCode>General</c:formatCode>
                <c:ptCount val="4"/>
                <c:pt idx="0">
                  <c:v>275.0</c:v>
                </c:pt>
                <c:pt idx="1">
                  <c:v>496.0</c:v>
                </c:pt>
                <c:pt idx="2">
                  <c:v>709.0</c:v>
                </c:pt>
                <c:pt idx="3">
                  <c:v>794.0</c:v>
                </c:pt>
              </c:numCache>
            </c:numRef>
          </c:val>
        </c:ser>
        <c:dLbls>
          <c:showVal val="1"/>
        </c:dLbls>
        <c:overlap val="100"/>
        <c:axId val="545036152"/>
        <c:axId val="545072680"/>
      </c:barChart>
      <c:catAx>
        <c:axId val="545036152"/>
        <c:scaling>
          <c:orientation val="minMax"/>
        </c:scaling>
        <c:axPos val="b"/>
        <c:tickLblPos val="nextTo"/>
        <c:crossAx val="545072680"/>
        <c:crosses val="autoZero"/>
        <c:auto val="1"/>
        <c:lblAlgn val="ctr"/>
        <c:lblOffset val="100"/>
      </c:catAx>
      <c:valAx>
        <c:axId val="545072680"/>
        <c:scaling>
          <c:orientation val="minMax"/>
        </c:scaling>
        <c:axPos val="l"/>
        <c:majorGridlines/>
        <c:title>
          <c:tx>
            <c:rich>
              <a:bodyPr/>
              <a:lstStyle/>
              <a:p>
                <a:pPr>
                  <a:defRPr/>
                </a:pPr>
                <a:r>
                  <a:rPr lang="ja-JP" altLang="en-US"/>
                  <a:t>億米ドル</a:t>
                </a:r>
              </a:p>
            </c:rich>
          </c:tx>
          <c:layout/>
        </c:title>
        <c:numFmt formatCode="General" sourceLinked="1"/>
        <c:tickLblPos val="nextTo"/>
        <c:crossAx val="545036152"/>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公開株式市場での投資額（</a:t>
            </a:r>
            <a:r>
              <a:rPr lang="en-US" altLang="ja-JP" sz="1050"/>
              <a:t>2006</a:t>
            </a:r>
            <a:r>
              <a:rPr lang="ja-JP" altLang="en-US" sz="1050"/>
              <a:t>）</a:t>
            </a:r>
          </a:p>
        </c:rich>
      </c:tx>
      <c:layout/>
    </c:title>
    <c:plotArea>
      <c:layout>
        <c:manualLayout>
          <c:layoutTarget val="inner"/>
          <c:xMode val="edge"/>
          <c:yMode val="edge"/>
          <c:x val="0.412637100509495"/>
          <c:y val="0.19479015918958"/>
          <c:w val="0.538649606299215"/>
          <c:h val="0.444447736362911"/>
        </c:manualLayout>
      </c:layout>
      <c:barChart>
        <c:barDir val="bar"/>
        <c:grouping val="clustered"/>
        <c:ser>
          <c:idx val="0"/>
          <c:order val="0"/>
          <c:dLbls>
            <c:showVal val="1"/>
          </c:dLbls>
          <c:cat>
            <c:strRef>
              <c:f>Sheet1!$B$10:$B$15</c:f>
              <c:strCache>
                <c:ptCount val="6"/>
                <c:pt idx="0">
                  <c:v>太陽光発電</c:v>
                </c:pt>
                <c:pt idx="1">
                  <c:v>バイオ燃料</c:v>
                </c:pt>
                <c:pt idx="2">
                  <c:v>風力発電</c:v>
                </c:pt>
                <c:pt idx="3">
                  <c:v>その他低炭素技術</c:v>
                </c:pt>
                <c:pt idx="4">
                  <c:v>その他再生可能エネルギー</c:v>
                </c:pt>
                <c:pt idx="5">
                  <c:v>バイオマス＆廃棄物</c:v>
                </c:pt>
              </c:strCache>
            </c:strRef>
          </c:cat>
          <c:val>
            <c:numRef>
              <c:f>Sheet1!$C$10:$C$15</c:f>
              <c:numCache>
                <c:formatCode>General</c:formatCode>
                <c:ptCount val="6"/>
                <c:pt idx="0">
                  <c:v>44.0</c:v>
                </c:pt>
                <c:pt idx="1">
                  <c:v>25.0</c:v>
                </c:pt>
                <c:pt idx="2">
                  <c:v>12.0</c:v>
                </c:pt>
                <c:pt idx="3">
                  <c:v>12.0</c:v>
                </c:pt>
                <c:pt idx="4">
                  <c:v>5.0</c:v>
                </c:pt>
                <c:pt idx="5">
                  <c:v>4.0</c:v>
                </c:pt>
              </c:numCache>
            </c:numRef>
          </c:val>
        </c:ser>
        <c:dLbls>
          <c:showVal val="1"/>
        </c:dLbls>
        <c:axId val="512678200"/>
        <c:axId val="611327992"/>
      </c:barChart>
      <c:catAx>
        <c:axId val="512678200"/>
        <c:scaling>
          <c:orientation val="minMax"/>
        </c:scaling>
        <c:axPos val="l"/>
        <c:tickLblPos val="nextTo"/>
        <c:crossAx val="611327992"/>
        <c:crosses val="autoZero"/>
        <c:auto val="1"/>
        <c:lblAlgn val="ctr"/>
        <c:lblOffset val="100"/>
      </c:catAx>
      <c:valAx>
        <c:axId val="611327992"/>
        <c:scaling>
          <c:orientation val="minMax"/>
        </c:scaling>
        <c:axPos val="b"/>
        <c:majorGridlines/>
        <c:title>
          <c:tx>
            <c:rich>
              <a:bodyPr/>
              <a:lstStyle/>
              <a:p>
                <a:pPr>
                  <a:defRPr/>
                </a:pPr>
                <a:r>
                  <a:rPr lang="ja-JP" altLang="en-US"/>
                  <a:t>億米ドル</a:t>
                </a:r>
              </a:p>
            </c:rich>
          </c:tx>
          <c:layout/>
        </c:title>
        <c:numFmt formatCode="General" sourceLinked="1"/>
        <c:tickLblPos val="nextTo"/>
        <c:crossAx val="512678200"/>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0.67336</cdr:x>
      <cdr:y>0.90057</cdr:y>
    </cdr:from>
    <cdr:to>
      <cdr:x>1</cdr:x>
      <cdr:y>1</cdr:y>
    </cdr:to>
    <cdr:sp macro="" textlink="">
      <cdr:nvSpPr>
        <cdr:cNvPr id="2" name="テキスト ボックス 1"/>
        <cdr:cNvSpPr txBox="1"/>
      </cdr:nvSpPr>
      <cdr:spPr>
        <a:xfrm xmlns:a="http://schemas.openxmlformats.org/drawingml/2006/main">
          <a:off x="3080266" y="1979875"/>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0.65415</cdr:x>
      <cdr:y>0.90791</cdr:y>
    </cdr:from>
    <cdr:to>
      <cdr:x>1</cdr:x>
      <cdr:y>1</cdr:y>
    </cdr:to>
    <cdr:sp macro="" textlink="">
      <cdr:nvSpPr>
        <cdr:cNvPr id="2" name="テキスト ボックス 1"/>
        <cdr:cNvSpPr txBox="1"/>
      </cdr:nvSpPr>
      <cdr:spPr>
        <a:xfrm xmlns:a="http://schemas.openxmlformats.org/drawingml/2006/main">
          <a:off x="3387255" y="2464904"/>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0.55452</cdr:x>
      <cdr:y>0.92744</cdr:y>
    </cdr:from>
    <cdr:to>
      <cdr:x>1</cdr:x>
      <cdr:y>0.99822</cdr:y>
    </cdr:to>
    <cdr:sp macro="" textlink="">
      <cdr:nvSpPr>
        <cdr:cNvPr id="2" name="テキスト ボックス 1"/>
        <cdr:cNvSpPr txBox="1"/>
      </cdr:nvSpPr>
      <cdr:spPr>
        <a:xfrm xmlns:a="http://schemas.openxmlformats.org/drawingml/2006/main">
          <a:off x="1420136" y="2647401"/>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4.xml><?xml version="1.0" encoding="utf-8"?>
<c:userShapes xmlns:c="http://schemas.openxmlformats.org/drawingml/2006/chart">
  <cdr:relSizeAnchor xmlns:cdr="http://schemas.openxmlformats.org/drawingml/2006/chartDrawing">
    <cdr:from>
      <cdr:x>0.5856</cdr:x>
      <cdr:y>0.92916</cdr:y>
    </cdr:from>
    <cdr:to>
      <cdr:x>1</cdr:x>
      <cdr:y>1</cdr:y>
    </cdr:to>
    <cdr:sp macro="" textlink="">
      <cdr:nvSpPr>
        <cdr:cNvPr id="3" name="テキスト ボックス 1"/>
        <cdr:cNvSpPr txBox="1"/>
      </cdr:nvSpPr>
      <cdr:spPr>
        <a:xfrm xmlns:a="http://schemas.openxmlformats.org/drawingml/2006/main">
          <a:off x="2091193" y="2957885"/>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5.xml><?xml version="1.0" encoding="utf-8"?>
<c:userShapes xmlns:c="http://schemas.openxmlformats.org/drawingml/2006/chart">
  <cdr:relSizeAnchor xmlns:cdr="http://schemas.openxmlformats.org/drawingml/2006/chartDrawing">
    <cdr:from>
      <cdr:x>0.73184</cdr:x>
      <cdr:y>0.90751</cdr:y>
    </cdr:from>
    <cdr:to>
      <cdr:x>1</cdr:x>
      <cdr:y>1</cdr:y>
    </cdr:to>
    <cdr:sp macro="" textlink="">
      <cdr:nvSpPr>
        <cdr:cNvPr id="2" name="テキスト ボックス 1"/>
        <cdr:cNvSpPr txBox="1"/>
      </cdr:nvSpPr>
      <cdr:spPr>
        <a:xfrm xmlns:a="http://schemas.openxmlformats.org/drawingml/2006/main">
          <a:off x="3458817" y="2075290"/>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6.xml><?xml version="1.0" encoding="utf-8"?>
<c:userShapes xmlns:c="http://schemas.openxmlformats.org/drawingml/2006/chart">
  <cdr:relSizeAnchor xmlns:cdr="http://schemas.openxmlformats.org/drawingml/2006/chartDrawing">
    <cdr:from>
      <cdr:x>0.62271</cdr:x>
      <cdr:y>0.93</cdr:y>
    </cdr:from>
    <cdr:to>
      <cdr:x>1</cdr:x>
      <cdr:y>1</cdr:y>
    </cdr:to>
    <cdr:sp macro="" textlink="">
      <cdr:nvSpPr>
        <cdr:cNvPr id="2" name="テキスト ボックス 1"/>
        <cdr:cNvSpPr txBox="1"/>
      </cdr:nvSpPr>
      <cdr:spPr>
        <a:xfrm xmlns:a="http://schemas.openxmlformats.org/drawingml/2006/main">
          <a:off x="3238500" y="2657475"/>
          <a:ext cx="1962151" cy="2000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800"/>
            <a:t>出所）東邦テナックス（２００５）</a:t>
          </a:r>
        </a:p>
      </cdr:txBody>
    </cdr:sp>
  </cdr:relSizeAnchor>
</c:userShapes>
</file>

<file path=word/drawings/drawing7.xml><?xml version="1.0" encoding="utf-8"?>
<c:userShapes xmlns:c="http://schemas.openxmlformats.org/drawingml/2006/chart">
  <cdr:relSizeAnchor xmlns:cdr="http://schemas.openxmlformats.org/drawingml/2006/chartDrawing">
    <cdr:from>
      <cdr:x>0.54375</cdr:x>
      <cdr:y>0.86458</cdr:y>
    </cdr:from>
    <cdr:to>
      <cdr:x>0.95417</cdr:x>
      <cdr:y>0.94444</cdr:y>
    </cdr:to>
    <cdr:sp macro="" textlink="">
      <cdr:nvSpPr>
        <cdr:cNvPr id="2" name="テキスト ボックス 1"/>
        <cdr:cNvSpPr txBox="1"/>
      </cdr:nvSpPr>
      <cdr:spPr>
        <a:xfrm xmlns:a="http://schemas.openxmlformats.org/drawingml/2006/main">
          <a:off x="2486025" y="2371725"/>
          <a:ext cx="18764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出所）</a:t>
          </a:r>
          <a:r>
            <a:rPr lang="en-US" altLang="ja-JP" sz="1100"/>
            <a:t>global</a:t>
          </a:r>
          <a:r>
            <a:rPr lang="en-US" altLang="ja-JP" sz="1100" baseline="0"/>
            <a:t> production capacities of carbon fiber</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DA25-CD1B-434C-AF6D-A3A0E025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2428</Words>
  <Characters>13844</Characters>
  <Application>Microsoft Macintosh Word</Application>
  <DocSecurity>0</DocSecurity>
  <Lines>115</Lines>
  <Paragraphs>27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　尚男</dc:creator>
  <cp:keywords/>
  <dc:description/>
  <cp:lastModifiedBy>山本 祥馬</cp:lastModifiedBy>
  <cp:revision>3</cp:revision>
  <cp:lastPrinted>2009-01-08T08:15:00Z</cp:lastPrinted>
  <dcterms:created xsi:type="dcterms:W3CDTF">2009-01-08T20:25:00Z</dcterms:created>
  <dcterms:modified xsi:type="dcterms:W3CDTF">2009-01-09T01:50:00Z</dcterms:modified>
</cp:coreProperties>
</file>